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77" w:rsidRDefault="00E13E77" w:rsidP="00E13E77">
      <w:pPr>
        <w:spacing w:before="160"/>
        <w:jc w:val="center"/>
        <w:rPr>
          <w:b/>
        </w:rPr>
      </w:pPr>
      <w:r w:rsidRPr="00E13E77">
        <w:rPr>
          <w:b/>
        </w:rPr>
        <w:t>Levelezős hal</w:t>
      </w:r>
      <w:r>
        <w:rPr>
          <w:b/>
        </w:rPr>
        <w:t xml:space="preserve">lgatók tanulási motivációinak, </w:t>
      </w:r>
      <w:r w:rsidRPr="00E13E77">
        <w:rPr>
          <w:b/>
        </w:rPr>
        <w:t xml:space="preserve">a képzéssel kapcsolatos tapasztalatainak </w:t>
      </w:r>
      <w:r>
        <w:rPr>
          <w:b/>
        </w:rPr>
        <w:t xml:space="preserve">és javaslatainak </w:t>
      </w:r>
      <w:r w:rsidRPr="00E13E77">
        <w:rPr>
          <w:b/>
        </w:rPr>
        <w:t>felmérése a SZTE JGYPK-n</w:t>
      </w:r>
    </w:p>
    <w:p w:rsidR="00D453DA" w:rsidRPr="00E13E77" w:rsidRDefault="00D453DA" w:rsidP="00E13E77">
      <w:pPr>
        <w:spacing w:before="160"/>
        <w:jc w:val="center"/>
        <w:rPr>
          <w:b/>
        </w:rPr>
      </w:pPr>
      <w:r>
        <w:rPr>
          <w:b/>
        </w:rPr>
        <w:t>Keczer Gabriella, Lizon Loretta</w:t>
      </w:r>
      <w:bookmarkStart w:id="0" w:name="_GoBack"/>
      <w:bookmarkEnd w:id="0"/>
    </w:p>
    <w:p w:rsidR="00E13E77" w:rsidRDefault="00E13E77" w:rsidP="00A7481C">
      <w:pPr>
        <w:spacing w:before="160"/>
        <w:jc w:val="both"/>
      </w:pPr>
    </w:p>
    <w:p w:rsidR="00564C17" w:rsidRPr="008828C0" w:rsidRDefault="00E13E77" w:rsidP="00A7481C">
      <w:pPr>
        <w:spacing w:before="160"/>
        <w:jc w:val="both"/>
      </w:pPr>
      <w:r>
        <w:t>2015 tavaszán k</w:t>
      </w:r>
      <w:r w:rsidR="00564C17" w:rsidRPr="008828C0">
        <w:t xml:space="preserve">érdőíves felmérést </w:t>
      </w:r>
      <w:r w:rsidR="00564C17">
        <w:t xml:space="preserve">végeztünk </w:t>
      </w:r>
      <w:r w:rsidR="00564C17" w:rsidRPr="008828C0">
        <w:t xml:space="preserve">a levelező tagozatos </w:t>
      </w:r>
      <w:r w:rsidR="00564C17">
        <w:t>hallgatók körében</w:t>
      </w:r>
      <w:r>
        <w:t xml:space="preserve"> a SZTE JGYPK-n</w:t>
      </w:r>
      <w:r w:rsidR="00564C17">
        <w:t>. A felmérést hét</w:t>
      </w:r>
      <w:r w:rsidR="00564C17" w:rsidRPr="008828C0">
        <w:t xml:space="preserve"> s</w:t>
      </w:r>
      <w:r w:rsidR="00564C17">
        <w:t>zak levelező képzésén folytattuk</w:t>
      </w:r>
      <w:r w:rsidR="00564C17" w:rsidRPr="008828C0">
        <w:t xml:space="preserve"> le a </w:t>
      </w:r>
      <w:r w:rsidR="00564C17">
        <w:t xml:space="preserve">kar négy intézetében. </w:t>
      </w:r>
      <w:r w:rsidR="00564C17" w:rsidRPr="008828C0">
        <w:t xml:space="preserve">A vizsgált szakok a következők voltak: andragógus alapszak, andragógus mesterszak, andragógus tanár szak, kulturális mediáció mesterszak (Felnőttképzési Intézet), testnevelő tanár alapszak (Testnevelési és Sporttudományi Intézet), gyógypedagógus alapszak (Gyógypedagógus-képző Intézet), közoktatási vezető továbbképzés, gyakorlatvezető mentor továbbképzés (Tanító- és Óvóképző Intézet). </w:t>
      </w:r>
    </w:p>
    <w:p w:rsidR="00E13E77" w:rsidRDefault="00E13E77" w:rsidP="00A7481C">
      <w:pPr>
        <w:pStyle w:val="Default"/>
        <w:spacing w:before="160"/>
        <w:jc w:val="both"/>
        <w:rPr>
          <w:rStyle w:val="A6"/>
          <w:bCs/>
          <w:color w:val="auto"/>
          <w:sz w:val="24"/>
          <w:szCs w:val="24"/>
        </w:rPr>
      </w:pPr>
      <w:r>
        <w:rPr>
          <w:rStyle w:val="A6"/>
          <w:bCs/>
          <w:color w:val="auto"/>
          <w:sz w:val="24"/>
          <w:szCs w:val="24"/>
        </w:rPr>
        <w:t>A felmérés témakörei speciálisan a felnőtthallgatókra vonatkoztak, azaz olyan általános kérdéseket, mint például az órák színvonala, a tananyagok minősége stb. nem tartalmazott. Azokat a problémaköröket fedte le, amelyekkel a hallgatók a levelezős képzési forma, az életkor, a munkahelyi és családi kötelezettségek miatt szembesülhetnek.</w:t>
      </w:r>
    </w:p>
    <w:p w:rsidR="00564C17" w:rsidRDefault="00564C17" w:rsidP="00A7481C">
      <w:pPr>
        <w:pStyle w:val="Default"/>
        <w:spacing w:before="160"/>
        <w:jc w:val="both"/>
        <w:rPr>
          <w:rStyle w:val="A6"/>
          <w:bCs/>
          <w:color w:val="auto"/>
          <w:sz w:val="24"/>
          <w:szCs w:val="24"/>
        </w:rPr>
      </w:pPr>
      <w:r w:rsidRPr="004A6936">
        <w:rPr>
          <w:rStyle w:val="A6"/>
          <w:bCs/>
          <w:color w:val="auto"/>
          <w:sz w:val="24"/>
          <w:szCs w:val="24"/>
        </w:rPr>
        <w:t>A kutatást zárt és nyílt kérdéseket tartalmazó, önkitöltésen alapul</w:t>
      </w:r>
      <w:r>
        <w:rPr>
          <w:rStyle w:val="A6"/>
          <w:bCs/>
          <w:color w:val="auto"/>
          <w:sz w:val="24"/>
          <w:szCs w:val="24"/>
        </w:rPr>
        <w:t xml:space="preserve">ó kérdőíves felméréssel végeztük Összesen 123-an töltötték ki a papír alapú kérdőíveket, ebből 93-an 30 éven felüliek és 121 fő munka mellett tanul. </w:t>
      </w:r>
    </w:p>
    <w:p w:rsidR="00E13E77" w:rsidRDefault="00E13E77" w:rsidP="00A7481C">
      <w:pPr>
        <w:pStyle w:val="Default"/>
        <w:spacing w:before="160"/>
        <w:jc w:val="both"/>
        <w:rPr>
          <w:rStyle w:val="A6"/>
          <w:bCs/>
          <w:color w:val="auto"/>
          <w:sz w:val="24"/>
          <w:szCs w:val="24"/>
        </w:rPr>
      </w:pPr>
    </w:p>
    <w:p w:rsidR="00E13E77" w:rsidRPr="00E13E77" w:rsidRDefault="00E13E77" w:rsidP="00E13E77">
      <w:pPr>
        <w:pStyle w:val="Default"/>
        <w:spacing w:before="160"/>
        <w:jc w:val="center"/>
        <w:rPr>
          <w:rStyle w:val="A6"/>
          <w:b/>
          <w:bCs/>
          <w:color w:val="auto"/>
          <w:sz w:val="24"/>
          <w:szCs w:val="24"/>
        </w:rPr>
      </w:pPr>
      <w:r w:rsidRPr="00E13E77">
        <w:rPr>
          <w:rStyle w:val="A6"/>
          <w:b/>
          <w:bCs/>
          <w:color w:val="auto"/>
          <w:sz w:val="24"/>
          <w:szCs w:val="24"/>
        </w:rPr>
        <w:t>Kutatási eredmények</w:t>
      </w:r>
    </w:p>
    <w:p w:rsidR="00564C17" w:rsidRPr="00BF0D00" w:rsidRDefault="00564C17" w:rsidP="00A7481C">
      <w:pPr>
        <w:spacing w:before="160"/>
        <w:rPr>
          <w:b/>
          <w:bCs/>
        </w:rPr>
      </w:pPr>
      <w:bookmarkStart w:id="1" w:name="_Toc425264884"/>
      <w:bookmarkStart w:id="2" w:name="_Toc433992900"/>
      <w:smartTag w:uri="urn:schemas-microsoft-com:office:smarttags" w:element="metricconverter">
        <w:smartTagPr>
          <w:attr w:name="ProductID" w:val="1. A"/>
        </w:smartTagPr>
        <w:r w:rsidRPr="00BF0D00">
          <w:rPr>
            <w:b/>
            <w:bCs/>
          </w:rPr>
          <w:t>1. A</w:t>
        </w:r>
      </w:smartTag>
      <w:r w:rsidRPr="00BF0D00">
        <w:rPr>
          <w:b/>
          <w:bCs/>
        </w:rPr>
        <w:t xml:space="preserve"> tanulás motivációi</w:t>
      </w:r>
      <w:bookmarkEnd w:id="1"/>
      <w:bookmarkEnd w:id="2"/>
    </w:p>
    <w:p w:rsidR="00564C17" w:rsidRDefault="00564C17" w:rsidP="00A7481C">
      <w:pPr>
        <w:spacing w:before="160"/>
        <w:jc w:val="both"/>
      </w:pPr>
      <w:r w:rsidRPr="008828C0">
        <w:t>A felmérés első része a tanulási motivációkat, valamint a szak- és az intézményválasztás szempontjait tárta fel.</w:t>
      </w:r>
    </w:p>
    <w:p w:rsidR="00564C17" w:rsidRPr="008828C0" w:rsidRDefault="00564C17" w:rsidP="00A7481C">
      <w:pPr>
        <w:spacing w:before="160"/>
        <w:jc w:val="both"/>
      </w:pPr>
      <w:r>
        <w:t>A hallgatók többsége maga kezdeményezte a képzésben való részvételt, nem a munkahelye, és a munkáltatók többsége ennek megfelelően nem, vagy csak rugalmas munkaidővel támogatja a képzésben való részvételt.</w:t>
      </w:r>
    </w:p>
    <w:p w:rsidR="00564C17" w:rsidRDefault="00564C17" w:rsidP="00A7481C">
      <w:pPr>
        <w:spacing w:before="160"/>
        <w:contextualSpacing/>
        <w:jc w:val="both"/>
        <w:outlineLvl w:val="1"/>
        <w:rPr>
          <w:bCs/>
          <w:sz w:val="26"/>
          <w:szCs w:val="26"/>
        </w:rPr>
      </w:pPr>
    </w:p>
    <w:p w:rsidR="00564C17" w:rsidRDefault="00564C17" w:rsidP="00A7481C">
      <w:pPr>
        <w:spacing w:before="160"/>
        <w:contextualSpacing/>
        <w:jc w:val="center"/>
        <w:outlineLvl w:val="1"/>
        <w:rPr>
          <w:bCs/>
          <w:sz w:val="26"/>
          <w:szCs w:val="26"/>
        </w:rPr>
      </w:pPr>
      <w:r>
        <w:rPr>
          <w:bCs/>
          <w:sz w:val="26"/>
          <w:szCs w:val="26"/>
        </w:rPr>
        <w:t>1. ábra: A felsőoktatási tanulmányok kezdeményezője</w:t>
      </w:r>
    </w:p>
    <w:p w:rsidR="00564C17" w:rsidRDefault="0045569C" w:rsidP="00A7481C">
      <w:pPr>
        <w:spacing w:before="160"/>
        <w:jc w:val="center"/>
      </w:pPr>
      <w:r>
        <w:rPr>
          <w:noProof/>
        </w:rPr>
        <w:drawing>
          <wp:inline distT="0" distB="0" distL="0" distR="0">
            <wp:extent cx="5695950" cy="23526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rsidR="00564C17" w:rsidRDefault="00564C17" w:rsidP="00A7481C">
      <w:pPr>
        <w:spacing w:before="160"/>
        <w:contextualSpacing/>
        <w:jc w:val="center"/>
        <w:outlineLvl w:val="1"/>
      </w:pPr>
      <w:r>
        <w:t>Saját szerkesztés</w:t>
      </w:r>
    </w:p>
    <w:p w:rsidR="00564C17" w:rsidRDefault="00564C17" w:rsidP="00A7481C">
      <w:pPr>
        <w:spacing w:before="160"/>
        <w:contextualSpacing/>
        <w:jc w:val="center"/>
        <w:outlineLvl w:val="1"/>
      </w:pPr>
    </w:p>
    <w:p w:rsidR="00564C17" w:rsidRDefault="00564C17" w:rsidP="00A7481C">
      <w:pPr>
        <w:spacing w:before="160"/>
        <w:contextualSpacing/>
        <w:jc w:val="center"/>
        <w:outlineLvl w:val="1"/>
      </w:pPr>
      <w:r>
        <w:lastRenderedPageBreak/>
        <w:t>2. ábra: A tanulás támogatása a munkáltató részéről</w:t>
      </w:r>
    </w:p>
    <w:p w:rsidR="00564C17" w:rsidRPr="008828C0" w:rsidRDefault="0045569C" w:rsidP="00A7481C">
      <w:pPr>
        <w:spacing w:before="160"/>
        <w:jc w:val="center"/>
      </w:pPr>
      <w:r>
        <w:rPr>
          <w:noProof/>
        </w:rPr>
        <w:drawing>
          <wp:inline distT="0" distB="0" distL="0" distR="0">
            <wp:extent cx="5638800" cy="23145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314575"/>
                    </a:xfrm>
                    <a:prstGeom prst="rect">
                      <a:avLst/>
                    </a:prstGeom>
                    <a:noFill/>
                    <a:ln>
                      <a:noFill/>
                    </a:ln>
                  </pic:spPr>
                </pic:pic>
              </a:graphicData>
            </a:graphic>
          </wp:inline>
        </w:drawing>
      </w:r>
    </w:p>
    <w:p w:rsidR="00564C17" w:rsidRDefault="00564C17" w:rsidP="00A7481C">
      <w:pPr>
        <w:spacing w:before="160"/>
        <w:contextualSpacing/>
        <w:jc w:val="center"/>
        <w:outlineLvl w:val="1"/>
      </w:pPr>
      <w:r>
        <w:t>Saját szerkesztés</w:t>
      </w:r>
    </w:p>
    <w:p w:rsidR="00564C17" w:rsidRDefault="00564C17" w:rsidP="00A7481C">
      <w:pPr>
        <w:spacing w:before="160"/>
        <w:jc w:val="both"/>
      </w:pPr>
      <w:r w:rsidRPr="008828C0">
        <w:t xml:space="preserve">Arra a nyílt kérdésekre, hogy miért döntött a továbbtanulás mellett és mit vár a képzés elvégzésétől, a hallgatók többször említenek </w:t>
      </w:r>
      <w:r w:rsidRPr="00EC305B">
        <w:rPr>
          <w:b/>
          <w:bCs/>
        </w:rPr>
        <w:t>külső jutalmakat</w:t>
      </w:r>
      <w:r w:rsidRPr="008828C0">
        <w:t xml:space="preserve">: nagyobb esély a munkahelyszerzésre, -megtartásra, előléptetés, fizetésemelés. A </w:t>
      </w:r>
      <w:r w:rsidRPr="00EC305B">
        <w:rPr>
          <w:b/>
          <w:bCs/>
        </w:rPr>
        <w:t>belső jutalmak és motivációk</w:t>
      </w:r>
      <w:r w:rsidRPr="008828C0">
        <w:t xml:space="preserve"> – szakmai fejlődés, érdeklődés – kisebb arányban jelennek meg. A diplomaszerzést, a végzettség megszerzését szintén sokan sorolták fel, ami arra utal, hogy hazánkban a „papír” megszerzésének a közgondolkodásban nagyobb jelentősége van, mint a kompetenciák megszerzésének.</w:t>
      </w:r>
      <w:r>
        <w:t xml:space="preserve"> </w:t>
      </w:r>
    </w:p>
    <w:p w:rsidR="00564C17" w:rsidRPr="008828C0" w:rsidRDefault="00564C17" w:rsidP="00EC305B">
      <w:pPr>
        <w:spacing w:before="160"/>
        <w:jc w:val="both"/>
      </w:pPr>
      <w:r w:rsidRPr="008828C0">
        <w:t xml:space="preserve">Arra a nyílt kérdésre, hogy miért az adott szakot választotta, meglehetősen nagy számban válaszolták, hogy </w:t>
      </w:r>
      <w:r w:rsidRPr="00EC305B">
        <w:rPr>
          <w:b/>
          <w:bCs/>
        </w:rPr>
        <w:t>kapcsolódik a jelenlegi munkájukhoz vagy az előzetes tanulmányaikhoz</w:t>
      </w:r>
      <w:r w:rsidRPr="008828C0">
        <w:t>, vagyis nem pályamódosítás, új szakma megtanulása a cél. Ez bizonyos szempontból kedvezően értékelhető, hiszen a hallgatók látnak perspektívát a jelenlegi hivatásukban, ugyanakkor megerősíti azt az észlelést, hogy a magyar munkaerő viszonylag nehezen vált. Emellett kisebb, de jelentős számban az érdeklődés jelenik meg motivációként.</w:t>
      </w:r>
      <w:r>
        <w:t xml:space="preserve"> </w:t>
      </w:r>
    </w:p>
    <w:p w:rsidR="00564C17" w:rsidRPr="008828C0" w:rsidRDefault="00564C17" w:rsidP="00A7481C">
      <w:pPr>
        <w:spacing w:before="160"/>
        <w:jc w:val="both"/>
      </w:pPr>
      <w:r w:rsidRPr="008828C0">
        <w:t xml:space="preserve">Arra a nyílt kérdésre, hogy miért az SZTE-t választották, a leggyakrabban előforduló válasz a </w:t>
      </w:r>
      <w:r w:rsidRPr="00EC305B">
        <w:rPr>
          <w:b/>
          <w:bCs/>
        </w:rPr>
        <w:t>földrajzi közelség</w:t>
      </w:r>
      <w:r w:rsidRPr="008828C0">
        <w:t xml:space="preserve"> volt. </w:t>
      </w:r>
      <w:r>
        <w:t>A hallgatók e</w:t>
      </w:r>
      <w:r w:rsidR="00F2725C">
        <w:t>mellett,</w:t>
      </w:r>
      <w:r w:rsidRPr="008828C0">
        <w:t xml:space="preserve"> kisebb számban </w:t>
      </w:r>
      <w:r w:rsidRPr="00F2725C">
        <w:rPr>
          <w:b/>
          <w:bCs/>
        </w:rPr>
        <w:t>az intézmény jó hírnevét, elismertségét, színvonalát említették</w:t>
      </w:r>
      <w:r w:rsidRPr="00F2725C">
        <w:t>.</w:t>
      </w:r>
      <w:r w:rsidRPr="008828C0">
        <w:t xml:space="preserve"> A földrajzi közelség, mint meghatározó szempont fontos az olyan kormányzati elképzelések vonatkozásában, melyek szerint bizonyos képzéseket csak bizonyos felsőoktatási intézmények indíthatnak majd, azaz az országnak csak néhány pontján. Az </w:t>
      </w:r>
      <w:r w:rsidRPr="00527E15">
        <w:t>intézmény hírneve, az itt szerzett végzettségek munkaerőpiaci elismertsége</w:t>
      </w:r>
      <w:r w:rsidRPr="008828C0">
        <w:t>, mint döntési szempont pedig az intézmény számára bír fontos üzenettel.</w:t>
      </w:r>
    </w:p>
    <w:p w:rsidR="00564C17" w:rsidRDefault="00564C17" w:rsidP="00A7481C">
      <w:pPr>
        <w:rPr>
          <w:b/>
          <w:bCs/>
        </w:rPr>
      </w:pPr>
      <w:bookmarkStart w:id="3" w:name="_Toc425264885"/>
      <w:bookmarkStart w:id="4" w:name="_Toc433992901"/>
    </w:p>
    <w:p w:rsidR="00564C17" w:rsidRPr="00A7481C" w:rsidRDefault="00564C17" w:rsidP="00A7481C">
      <w:pPr>
        <w:rPr>
          <w:b/>
          <w:bCs/>
        </w:rPr>
      </w:pPr>
      <w:smartTag w:uri="urn:schemas-microsoft-com:office:smarttags" w:element="metricconverter">
        <w:smartTagPr>
          <w:attr w:name="ProductID" w:val="2. A"/>
        </w:smartTagPr>
        <w:r w:rsidRPr="00A7481C">
          <w:rPr>
            <w:b/>
            <w:bCs/>
          </w:rPr>
          <w:t>2. A</w:t>
        </w:r>
      </w:smartTag>
      <w:r w:rsidRPr="00A7481C">
        <w:rPr>
          <w:b/>
          <w:bCs/>
        </w:rPr>
        <w:t xml:space="preserve"> képzéssel kapcsolatos tapasztalatok</w:t>
      </w:r>
      <w:bookmarkEnd w:id="3"/>
      <w:bookmarkEnd w:id="4"/>
    </w:p>
    <w:p w:rsidR="00564C17" w:rsidRPr="008828C0" w:rsidRDefault="00564C17" w:rsidP="00A7481C">
      <w:pPr>
        <w:spacing w:before="160"/>
        <w:jc w:val="both"/>
      </w:pPr>
      <w:r w:rsidRPr="008828C0">
        <w:t xml:space="preserve">A felmérés második része a képzéssel kapcsolatos tapasztalatokat, elégedettséget tárta fel. Nem általános </w:t>
      </w:r>
      <w:r>
        <w:t>elégedettségi felmérést végeztünk – nem kérdeztünk</w:t>
      </w:r>
      <w:r w:rsidRPr="008828C0">
        <w:t xml:space="preserve"> rá például az oktatás színvonalával, az oktatók felkészültségével, az infrastruktúrával stb. kapcsolatos véleményekre --, hane</w:t>
      </w:r>
      <w:r>
        <w:t>m azokat a tényezőket vizsgáltuk</w:t>
      </w:r>
      <w:r w:rsidRPr="008828C0">
        <w:t>, amelyek a szakirodalom</w:t>
      </w:r>
      <w:r>
        <w:rPr>
          <w:rStyle w:val="Lbjegyzet-hivatkozs"/>
        </w:rPr>
        <w:footnoteReference w:id="1"/>
      </w:r>
      <w:r w:rsidRPr="008828C0">
        <w:t xml:space="preserve"> szerint is a leginkább befolyásolják a felnőtt, munka és család mellett tanuló hallgatók eredményességét. A felmérés ezen részének összesített eredményét az alábbi grafikon foglalja össze.</w:t>
      </w:r>
    </w:p>
    <w:p w:rsidR="00564C17" w:rsidRPr="00102DC8" w:rsidRDefault="00564C17" w:rsidP="00A7481C">
      <w:pPr>
        <w:spacing w:before="160"/>
        <w:jc w:val="center"/>
      </w:pPr>
      <w:r>
        <w:t xml:space="preserve">3. ábra: </w:t>
      </w:r>
      <w:r w:rsidRPr="00102DC8">
        <w:t>A hallgatók elégedettsége a képzéssel összefüggő egyes tényezőkkel</w:t>
      </w:r>
    </w:p>
    <w:p w:rsidR="00564C17" w:rsidRPr="008828C0" w:rsidRDefault="0045569C" w:rsidP="00A7481C">
      <w:pPr>
        <w:spacing w:before="160"/>
        <w:jc w:val="center"/>
      </w:pPr>
      <w:r>
        <w:rPr>
          <w:noProof/>
        </w:rPr>
        <w:lastRenderedPageBreak/>
        <w:drawing>
          <wp:inline distT="0" distB="0" distL="0" distR="0">
            <wp:extent cx="5362575" cy="28765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2876550"/>
                    </a:xfrm>
                    <a:prstGeom prst="rect">
                      <a:avLst/>
                    </a:prstGeom>
                    <a:noFill/>
                    <a:ln>
                      <a:noFill/>
                    </a:ln>
                  </pic:spPr>
                </pic:pic>
              </a:graphicData>
            </a:graphic>
          </wp:inline>
        </w:drawing>
      </w:r>
    </w:p>
    <w:p w:rsidR="00564C17" w:rsidRPr="008828C0" w:rsidRDefault="00564C17" w:rsidP="00EC305B">
      <w:pPr>
        <w:spacing w:before="160"/>
        <w:jc w:val="center"/>
      </w:pPr>
      <w:r>
        <w:t>Saját szerkesztés</w:t>
      </w:r>
    </w:p>
    <w:p w:rsidR="00564C17" w:rsidRPr="008828C0" w:rsidRDefault="00564C17" w:rsidP="00EC305B">
      <w:pPr>
        <w:spacing w:before="160"/>
        <w:jc w:val="both"/>
      </w:pPr>
      <w:r w:rsidRPr="008828C0">
        <w:t xml:space="preserve">A hallgatók összességében az </w:t>
      </w:r>
      <w:r w:rsidRPr="00EC305B">
        <w:rPr>
          <w:b/>
          <w:bCs/>
        </w:rPr>
        <w:t xml:space="preserve">előzetesen szerzett tudás és munkatapasztalat figyelembe vételével </w:t>
      </w:r>
      <w:r w:rsidRPr="008828C0">
        <w:t xml:space="preserve">(3,6-os átlag ötfokozatú skálán), </w:t>
      </w:r>
      <w:r w:rsidRPr="00EC305B">
        <w:t>a</w:t>
      </w:r>
      <w:r w:rsidRPr="00EC305B">
        <w:rPr>
          <w:b/>
          <w:bCs/>
        </w:rPr>
        <w:t xml:space="preserve"> tanulmányi osztályok nyitva tartásával</w:t>
      </w:r>
      <w:r w:rsidRPr="008828C0">
        <w:t xml:space="preserve"> (3,7-os átlag ötfokozatú skálán),</w:t>
      </w:r>
      <w:r w:rsidRPr="00EC305B">
        <w:t xml:space="preserve"> a</w:t>
      </w:r>
      <w:r w:rsidRPr="00EC305B">
        <w:rPr>
          <w:b/>
          <w:bCs/>
        </w:rPr>
        <w:t xml:space="preserve"> tájékoztatással, információ-áramlással</w:t>
      </w:r>
      <w:r w:rsidRPr="008828C0">
        <w:t xml:space="preserve"> (3,8-os átlag ötfokozatú skálán), valamint </w:t>
      </w:r>
      <w:r w:rsidRPr="00EC305B">
        <w:t>a</w:t>
      </w:r>
      <w:r w:rsidRPr="00EC305B">
        <w:rPr>
          <w:b/>
          <w:bCs/>
        </w:rPr>
        <w:t xml:space="preserve"> munkahelyi és családi kötelezettségek figyelembe vételével</w:t>
      </w:r>
      <w:r w:rsidRPr="008828C0">
        <w:t xml:space="preserve"> (3</w:t>
      </w:r>
      <w:r>
        <w:t xml:space="preserve">,8-os átlag ötfokozatú skálán) </w:t>
      </w:r>
      <w:r w:rsidRPr="008828C0">
        <w:t>elégedettek</w:t>
      </w:r>
      <w:r w:rsidRPr="00A7481C">
        <w:t xml:space="preserve"> </w:t>
      </w:r>
      <w:r>
        <w:t xml:space="preserve">a </w:t>
      </w:r>
      <w:r w:rsidRPr="008828C0">
        <w:t>legkevésbé</w:t>
      </w:r>
      <w:r>
        <w:t>. A felmérés eredményei alapján a fentiekkel kapcsolatban következő megállapításokat tehetjük.</w:t>
      </w:r>
    </w:p>
    <w:p w:rsidR="00564C17" w:rsidRPr="008828C0" w:rsidRDefault="00564C17" w:rsidP="00EC305B">
      <w:pPr>
        <w:numPr>
          <w:ilvl w:val="0"/>
          <w:numId w:val="3"/>
        </w:numPr>
        <w:tabs>
          <w:tab w:val="clear" w:pos="720"/>
          <w:tab w:val="num" w:pos="360"/>
        </w:tabs>
        <w:ind w:left="0" w:firstLine="0"/>
        <w:jc w:val="both"/>
      </w:pPr>
      <w:r w:rsidRPr="008828C0">
        <w:t xml:space="preserve">Az előzetesen szerzett tudás és munkatapasztalat beszámítása a világon mindenütt, így hazánkban is a figyelem középpontjában van – ennek indokoltságát a hallgatók véleménye is megerősíti. </w:t>
      </w:r>
    </w:p>
    <w:p w:rsidR="00564C17" w:rsidRPr="008828C0" w:rsidRDefault="00564C17" w:rsidP="00EC305B">
      <w:pPr>
        <w:numPr>
          <w:ilvl w:val="0"/>
          <w:numId w:val="3"/>
        </w:numPr>
        <w:tabs>
          <w:tab w:val="clear" w:pos="720"/>
          <w:tab w:val="num" w:pos="360"/>
        </w:tabs>
        <w:ind w:left="0" w:firstLine="0"/>
        <w:jc w:val="both"/>
      </w:pPr>
      <w:r w:rsidRPr="008828C0">
        <w:t xml:space="preserve">A tanulmányi osztályok </w:t>
      </w:r>
      <w:r>
        <w:t xml:space="preserve">(TO) </w:t>
      </w:r>
      <w:r w:rsidRPr="008828C0">
        <w:t xml:space="preserve">nyitvatartási ideje két szakon is 3-asnál rosszabb értékelést kapott, és rendkívül sokszor, a felmérés több pontján visszaköszön: a levelezős konzultációk idején, azaz péntek délután és szombaton a TO-k zárva vannak, így a levelezős hallgatók nem tudják elintézni az ügyeket. </w:t>
      </w:r>
    </w:p>
    <w:p w:rsidR="00564C17" w:rsidRPr="008828C0" w:rsidRDefault="00564C17" w:rsidP="00EC305B">
      <w:pPr>
        <w:numPr>
          <w:ilvl w:val="0"/>
          <w:numId w:val="3"/>
        </w:numPr>
        <w:tabs>
          <w:tab w:val="clear" w:pos="720"/>
          <w:tab w:val="num" w:pos="360"/>
        </w:tabs>
        <w:ind w:left="0" w:firstLine="0"/>
        <w:jc w:val="both"/>
      </w:pPr>
      <w:r w:rsidRPr="008828C0">
        <w:t>A tájékoztatás, információ-áramlás tekintetében az egyes szakokon igen eltérő értékelések születtek. Az egyik szakon 4,8-as, egy másikon 2,3-as osztályzatot adtak a hallgatók. Utóbbiak megjegyezték, hogy nem értesülnek az óracserékről, az erre szolgáló Coospace-t nem használják az oktatók, mindennek a hallgatóknak kell utánajárniuk, a honlapon fellelhető információk nem teljesek és nem érvényesek. Egy szak kivételével mindenütt hasonló véleményekkel találkozunk. Ez megerősíti azt a szakirodalomban megjelenő premisszát, hogy mivel a levelezős (part-time) hallgatók nincsenek bent az intézményben, kiszorulnak annak napi működéséből, gyakran információhiányban szenvednek, és kommunikációs nehézségekkel küzdenek.  Az intézményen belül célszerű lenne belső benchmarkinggal felderíteni, mi az, amit az egyik szakon jól, míg a többin rosszabbul csinálnak.</w:t>
      </w:r>
    </w:p>
    <w:p w:rsidR="00564C17" w:rsidRPr="008828C0" w:rsidRDefault="00564C17" w:rsidP="00EC305B">
      <w:pPr>
        <w:numPr>
          <w:ilvl w:val="0"/>
          <w:numId w:val="3"/>
        </w:numPr>
        <w:tabs>
          <w:tab w:val="clear" w:pos="720"/>
          <w:tab w:val="num" w:pos="360"/>
        </w:tabs>
        <w:ind w:left="0" w:firstLine="0"/>
        <w:jc w:val="both"/>
      </w:pPr>
      <w:r w:rsidRPr="008828C0">
        <w:t>A munkahelyi és családi kötöttségek figyelembe vétele az egyik szakon 2,9-es értékelést kapott. Itt azonban olyan hallgatói észrevételek is megfogalmazódtak, amelyek jogossága megkérdőjelezhető. Ilyen például az a vélemény, hogy a levelezős hallgatóktól nem helyes ugyanannyit elvárni, mint a nappalisoktól. Ugyanakkor az oktatásszervezésben (órák, vizsgák időpontja, tanulmányi osztályok, jegyzetbolt nyitva tartása) jogosan várják el a hallgatók az egyéb kötelezettségeik figyelembe vételét.</w:t>
      </w:r>
    </w:p>
    <w:p w:rsidR="00564C17" w:rsidRPr="008828C0" w:rsidRDefault="00564C17" w:rsidP="00A7481C">
      <w:pPr>
        <w:spacing w:before="160"/>
        <w:jc w:val="both"/>
      </w:pPr>
      <w:r w:rsidRPr="008828C0">
        <w:t xml:space="preserve">Jelentős részben alátámasztják a fentieket a következő nyitott kérdésre adott válaszok: Mi jelenti a legnagyobb problémát, nehézséget a képzéssel kapcsolatban, a képzés során? A </w:t>
      </w:r>
      <w:r w:rsidRPr="008828C0">
        <w:lastRenderedPageBreak/>
        <w:t xml:space="preserve">legtöbben </w:t>
      </w:r>
      <w:r w:rsidRPr="00EC305B">
        <w:rPr>
          <w:b/>
          <w:bCs/>
        </w:rPr>
        <w:t>a tanulás, a munka és a család összehangolását</w:t>
      </w:r>
      <w:r w:rsidRPr="008828C0">
        <w:t xml:space="preserve"> említették, valamint ehhez kapcsolódóan a pénteki konzultációkat és a hétköznapra hirdetett vizsgákat. Még kisgyermekes anyukák is a szombati konzultációkat preferálnák, vagyis inkább a családtól, mint a munkahelyről maradnának távol. A nem megfelelő és sokszor késve történő tájékoztatás, a túl sok beadandó dolgozat, az ügyintézés nehézségei és a tanulmányi osztály nyitvatartási ideje is gyakran említésre kerültek.</w:t>
      </w:r>
      <w:r>
        <w:t xml:space="preserve"> </w:t>
      </w:r>
    </w:p>
    <w:p w:rsidR="00564C17" w:rsidRDefault="00564C17" w:rsidP="00EC305B">
      <w:pPr>
        <w:spacing w:before="160"/>
        <w:jc w:val="both"/>
      </w:pPr>
      <w:r w:rsidRPr="008828C0">
        <w:t>A</w:t>
      </w:r>
      <w:r>
        <w:t xml:space="preserve"> hallgatók</w:t>
      </w:r>
      <w:r w:rsidRPr="008828C0">
        <w:t xml:space="preserve"> a hallgatók </w:t>
      </w:r>
      <w:r w:rsidRPr="00EC305B">
        <w:t>a</w:t>
      </w:r>
      <w:r w:rsidRPr="00EC305B">
        <w:rPr>
          <w:b/>
          <w:bCs/>
        </w:rPr>
        <w:t xml:space="preserve"> tanultak hasznosságával</w:t>
      </w:r>
      <w:r w:rsidRPr="008828C0">
        <w:t xml:space="preserve"> és a </w:t>
      </w:r>
      <w:r w:rsidRPr="00EC305B">
        <w:rPr>
          <w:b/>
          <w:bCs/>
        </w:rPr>
        <w:t>számonkérési módszerekkel</w:t>
      </w:r>
      <w:r w:rsidRPr="008828C0">
        <w:t xml:space="preserve"> (4,2-es átlag), </w:t>
      </w:r>
      <w:r w:rsidRPr="00EC305B">
        <w:t>az</w:t>
      </w:r>
      <w:r w:rsidRPr="00EC305B">
        <w:rPr>
          <w:b/>
          <w:bCs/>
        </w:rPr>
        <w:t xml:space="preserve"> IKT eszközök alkalmazásával</w:t>
      </w:r>
      <w:r w:rsidRPr="008828C0">
        <w:t xml:space="preserve"> és az </w:t>
      </w:r>
      <w:r w:rsidRPr="00EC305B">
        <w:rPr>
          <w:b/>
          <w:bCs/>
        </w:rPr>
        <w:t>oktatók elérhetőségével</w:t>
      </w:r>
      <w:r w:rsidRPr="008828C0">
        <w:t xml:space="preserve"> (4,1-es átlag)</w:t>
      </w:r>
      <w:r>
        <w:t xml:space="preserve"> a </w:t>
      </w:r>
      <w:r w:rsidRPr="008828C0">
        <w:t xml:space="preserve">leginkább elégedettek. </w:t>
      </w:r>
      <w:r>
        <w:t>A részletes elemzés során a fentiekkel kapcsolatban a következő megállapításokat tettük.</w:t>
      </w:r>
    </w:p>
    <w:p w:rsidR="00564C17" w:rsidRPr="008828C0" w:rsidRDefault="00564C17" w:rsidP="00EC305B">
      <w:pPr>
        <w:spacing w:before="160"/>
        <w:jc w:val="both"/>
      </w:pPr>
      <w:r w:rsidRPr="008828C0">
        <w:t>Ami a tanultak hasznosságát illeti, a kedvező értékelés cáfolja azt a manapság gyakran hallható véleményt, hogy a felsőoktatás használhatatlan ismereteket nyújt. A SZTE JGYPK hallgatói mindenesetre e tekintetben elégedettek leginkább az intézménnyel, és mivel munkahellyel rendelkező hallgatók vettek részt a felmérésben, nyilvánvalóan van közvetlen tapasztalatuk arról, hogy a tanultak mennyire hasznosíthatók.</w:t>
      </w:r>
    </w:p>
    <w:p w:rsidR="00564C17" w:rsidRPr="008828C0" w:rsidRDefault="00564C17" w:rsidP="00A7481C">
      <w:pPr>
        <w:spacing w:before="160"/>
        <w:jc w:val="both"/>
      </w:pPr>
      <w:r w:rsidRPr="008828C0">
        <w:t>Kapcsolódó kérdés volt, hogy az intézmény ismeri, illetve figyelembe veszi-e a munkáltatói elvárásokat. Mint az alábbi diagramon látható, a hallgatók közel 70%-a szerint ezek az elvárások megjelennek a képzésben, 30%-uk szerint viszont nem.</w:t>
      </w:r>
    </w:p>
    <w:p w:rsidR="00564C17" w:rsidRPr="008828C0" w:rsidRDefault="00564C17" w:rsidP="00EC305B">
      <w:pPr>
        <w:spacing w:before="160"/>
        <w:jc w:val="center"/>
      </w:pPr>
      <w:r>
        <w:t>4. ábra: A munkáltatók elvárásainak érvényesülése az oktatásban</w:t>
      </w:r>
    </w:p>
    <w:p w:rsidR="00564C17" w:rsidRPr="008828C0" w:rsidRDefault="0045569C" w:rsidP="00A7481C">
      <w:pPr>
        <w:spacing w:before="160"/>
        <w:jc w:val="center"/>
      </w:pPr>
      <w:r>
        <w:rPr>
          <w:noProof/>
        </w:rPr>
        <w:drawing>
          <wp:inline distT="0" distB="0" distL="0" distR="0">
            <wp:extent cx="5543550" cy="252412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2524125"/>
                    </a:xfrm>
                    <a:prstGeom prst="rect">
                      <a:avLst/>
                    </a:prstGeom>
                    <a:noFill/>
                    <a:ln>
                      <a:noFill/>
                    </a:ln>
                  </pic:spPr>
                </pic:pic>
              </a:graphicData>
            </a:graphic>
          </wp:inline>
        </w:drawing>
      </w:r>
    </w:p>
    <w:p w:rsidR="00564C17" w:rsidRPr="008828C0" w:rsidRDefault="00564C17" w:rsidP="00EC305B">
      <w:pPr>
        <w:spacing w:before="160"/>
        <w:jc w:val="center"/>
      </w:pPr>
      <w:r>
        <w:t>Saját szerkesztés</w:t>
      </w:r>
    </w:p>
    <w:p w:rsidR="00564C17" w:rsidRPr="008828C0" w:rsidRDefault="00564C17" w:rsidP="00A7481C">
      <w:pPr>
        <w:spacing w:before="160"/>
        <w:jc w:val="both"/>
      </w:pPr>
      <w:r w:rsidRPr="008828C0">
        <w:t xml:space="preserve">E téren azonban </w:t>
      </w:r>
      <w:r w:rsidRPr="00EC305B">
        <w:rPr>
          <w:b/>
          <w:bCs/>
        </w:rPr>
        <w:t>rendkívül nagy a különbség az egyes szakok között</w:t>
      </w:r>
      <w:r w:rsidRPr="008828C0">
        <w:t>. Az egyik szakon például a hallgatók 94%-a úgy véli, hogy az intézmény ismeri és figyelembe veszi ezeket az elvárásokat, a másikon viszont a hallgatók fele szerint vagy nem ismeri (10%), vagy ismeri, de nem veszi figyelembe (40%). Ezen a szakon bizonyultak a hallgatók a legelégedetlenebbnek a tanultak hasznosságával és az elmélet-gyakorlat arányával is (lásd később), vagyis a hallgatóknak ezen a szakon következetesen rosszabb véleményük van arról, hogy azt tanítják-e nekik, amire a munkájukban szükségük van.</w:t>
      </w:r>
    </w:p>
    <w:p w:rsidR="00564C17" w:rsidRPr="008828C0" w:rsidRDefault="00564C17" w:rsidP="00EC305B">
      <w:pPr>
        <w:spacing w:before="160"/>
        <w:jc w:val="both"/>
      </w:pPr>
      <w:r w:rsidRPr="008828C0">
        <w:t>A számonkérési módszerekkel való elégedettséggel függhet össze az is, hogy a hallgatók döntő többségének nem, vagy csak normális mértékű stresszt jelentenek a számonkérések. Mindössze a hallgatók 1/5-ének jelent rendkívüli mértékű stresszt.</w:t>
      </w:r>
    </w:p>
    <w:p w:rsidR="00564C17" w:rsidRPr="008828C0" w:rsidRDefault="00564C17" w:rsidP="00EC305B">
      <w:pPr>
        <w:spacing w:before="160"/>
        <w:jc w:val="center"/>
      </w:pPr>
      <w:r>
        <w:t>5. ábra: A számonkérés értékelése</w:t>
      </w:r>
    </w:p>
    <w:p w:rsidR="00564C17" w:rsidRPr="008828C0" w:rsidRDefault="0045569C" w:rsidP="00A7481C">
      <w:pPr>
        <w:spacing w:before="160"/>
        <w:jc w:val="center"/>
      </w:pPr>
      <w:r>
        <w:rPr>
          <w:noProof/>
        </w:rPr>
        <w:lastRenderedPageBreak/>
        <w:drawing>
          <wp:inline distT="0" distB="0" distL="0" distR="0">
            <wp:extent cx="5734050" cy="23812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2381250"/>
                    </a:xfrm>
                    <a:prstGeom prst="rect">
                      <a:avLst/>
                    </a:prstGeom>
                    <a:noFill/>
                    <a:ln>
                      <a:noFill/>
                    </a:ln>
                  </pic:spPr>
                </pic:pic>
              </a:graphicData>
            </a:graphic>
          </wp:inline>
        </w:drawing>
      </w:r>
    </w:p>
    <w:p w:rsidR="00564C17" w:rsidRPr="008828C0" w:rsidRDefault="00564C17" w:rsidP="00EC305B">
      <w:pPr>
        <w:spacing w:before="160"/>
        <w:jc w:val="center"/>
      </w:pPr>
      <w:r>
        <w:t>Saját szerkesztés</w:t>
      </w:r>
    </w:p>
    <w:p w:rsidR="00564C17" w:rsidRPr="008828C0" w:rsidRDefault="00564C17" w:rsidP="00A7481C">
      <w:pPr>
        <w:spacing w:before="160"/>
        <w:jc w:val="both"/>
      </w:pPr>
      <w:r w:rsidRPr="008828C0">
        <w:t xml:space="preserve">A számonkérési módszerekkel való elégedettség ellenére a felmérésben gyakran megjelenő vélemény, hogy túl sok a beadandó feladat (házidolgozat), melyek határidőre történő elkészítése komoly problémát jelent a hallgatóknak. Ez azért is figyelemre méltó, mert a beadandó dolgozatot, mint számonkérési módszert az oktatók elsősorban könnyítési szándékkal alkalmazzák a vizsga helyett. Mindez jól mutatja, hogy </w:t>
      </w:r>
      <w:r w:rsidRPr="00EC305B">
        <w:rPr>
          <w:b/>
          <w:bCs/>
        </w:rPr>
        <w:t>a hallgatók véleményének felmérése rendkívül fontos lenne</w:t>
      </w:r>
      <w:r w:rsidRPr="008828C0">
        <w:t>, mert az efféle félreértések ily módon kiderülnének!</w:t>
      </w:r>
    </w:p>
    <w:p w:rsidR="00564C17" w:rsidRDefault="00564C17" w:rsidP="00EC305B">
      <w:pPr>
        <w:spacing w:before="160"/>
        <w:jc w:val="both"/>
      </w:pPr>
      <w:r w:rsidRPr="008828C0">
        <w:t xml:space="preserve">Az IKT eszközök alkalmazásával kapcsolatban mindössze néhány, egy szakhoz köthető hallgató jegyezte meg, hogy ezek használata számára gondot jelent. Többen </w:t>
      </w:r>
      <w:r w:rsidRPr="00EC305B">
        <w:rPr>
          <w:b/>
          <w:bCs/>
        </w:rPr>
        <w:t>az IKT még nagyobb mértékű használatát javasolják</w:t>
      </w:r>
      <w:r w:rsidRPr="008828C0">
        <w:t>: további tananyagok digitalizálását, internetes vizsgáztatást és ügyintézést.</w:t>
      </w:r>
    </w:p>
    <w:p w:rsidR="00564C17" w:rsidRPr="008828C0" w:rsidRDefault="00564C17" w:rsidP="00EC305B">
      <w:pPr>
        <w:spacing w:before="160"/>
        <w:jc w:val="both"/>
      </w:pPr>
      <w:r w:rsidRPr="008828C0">
        <w:t xml:space="preserve">Az oktatók elérhetőségével kapcsolatban meg kell jegyezni, hogy bár a legrosszabb szakos átlag is viszonylag magas, 3,9-es, </w:t>
      </w:r>
      <w:r w:rsidRPr="0090614F">
        <w:rPr>
          <w:b/>
          <w:bCs/>
        </w:rPr>
        <w:t>rendkívül sok hallgató panaszkodik arra, hogy az oktatókat nem tudja elérni</w:t>
      </w:r>
      <w:r w:rsidRPr="008828C0">
        <w:t xml:space="preserve">, egyáltalán nem vagy nem időben válaszolnak az emailekre. Azt is számos hallgató megjegyzi, hogy e tekintetben </w:t>
      </w:r>
      <w:r w:rsidRPr="0090614F">
        <w:rPr>
          <w:b/>
          <w:bCs/>
        </w:rPr>
        <w:t>nagy a különbség az egyes oktatók között</w:t>
      </w:r>
      <w:r w:rsidRPr="008828C0">
        <w:t xml:space="preserve">. Ugyanezt jegyzik meg annál a kérdésnél is, hogy figyelembe veszik-e a hallgatók családi és munkahelyi kötelezettségeit. Mindez alátámasztja, hogy </w:t>
      </w:r>
      <w:r w:rsidRPr="0090614F">
        <w:rPr>
          <w:b/>
          <w:bCs/>
        </w:rPr>
        <w:t>az oktatók egyéni teljesítményértékelésére nagy szükség lenne az intézményben</w:t>
      </w:r>
      <w:r w:rsidRPr="008828C0">
        <w:t>.</w:t>
      </w:r>
    </w:p>
    <w:p w:rsidR="00564C17" w:rsidRPr="008828C0" w:rsidRDefault="00564C17" w:rsidP="00A7481C">
      <w:pPr>
        <w:spacing w:before="160"/>
        <w:jc w:val="both"/>
      </w:pPr>
      <w:r w:rsidRPr="008828C0">
        <w:t xml:space="preserve">Jó összesített értékelést adtak a hallgatók a </w:t>
      </w:r>
      <w:r w:rsidRPr="0090614F">
        <w:rPr>
          <w:b/>
          <w:bCs/>
        </w:rPr>
        <w:t>tananyagok hozzáférhetőségére</w:t>
      </w:r>
      <w:r w:rsidRPr="008828C0">
        <w:t xml:space="preserve">, a </w:t>
      </w:r>
      <w:r w:rsidRPr="0090614F">
        <w:rPr>
          <w:b/>
          <w:bCs/>
        </w:rPr>
        <w:t>vizsgák időpontjára</w:t>
      </w:r>
      <w:r w:rsidRPr="008828C0">
        <w:t xml:space="preserve">, az </w:t>
      </w:r>
      <w:r w:rsidRPr="0090614F">
        <w:rPr>
          <w:b/>
          <w:bCs/>
        </w:rPr>
        <w:t>oktatási módszerekre</w:t>
      </w:r>
      <w:r w:rsidRPr="008828C0">
        <w:t xml:space="preserve"> (4-es átlag ötfokozatú skálán).</w:t>
      </w:r>
      <w:r>
        <w:t xml:space="preserve"> A részletes elemzés alapján ezekkel kapcsolatban a következő megállapításokat tehetjük.</w:t>
      </w:r>
    </w:p>
    <w:p w:rsidR="00564C17" w:rsidRPr="008828C0" w:rsidRDefault="00564C17" w:rsidP="0090614F">
      <w:pPr>
        <w:numPr>
          <w:ilvl w:val="0"/>
          <w:numId w:val="5"/>
        </w:numPr>
        <w:tabs>
          <w:tab w:val="clear" w:pos="720"/>
          <w:tab w:val="num" w:pos="360"/>
        </w:tabs>
        <w:ind w:left="0" w:firstLine="0"/>
        <w:jc w:val="both"/>
      </w:pPr>
      <w:r w:rsidRPr="008828C0">
        <w:t>Ami a tananyagok hozzáférhetőségét illeti, a 4-es összesített átlag viszonylag nagy szórást takar. Egy szakon különösen problematikus ez a terület (3,4-es átlag). A hallgatók szerint a könyvtárban nincs elég példány, 30 hallgatóra jut egy tankönyv, ráadásul a vidékiek a konzultációs napon el sem jutnak a könyvtárba. A tananyagok elavultak, sok előírt kötelező olvasmányhoz már egyáltalán nem lehet hozzájutni. A könyvek megvásárlása drága, a jegyzetbolt pedig nincs nyitva a levelezős hallgatóknak megfelelő időpontban. A hallgatók azon a szakon a legelégedettebbek a tananyagok hozzáférhetőségével, ahol a jeg</w:t>
      </w:r>
      <w:r>
        <w:t>yzetek digitálisan rendelkezésre állnak</w:t>
      </w:r>
      <w:r w:rsidRPr="008828C0">
        <w:t xml:space="preserve"> és emellett saját intézeti könyvtár működik. Az össz-egyetemi könyvtár létrehozása nyilván sok szempontból ésszerű és jó döntés volt, ugyanakkor az intézeti könyvtárak közvetlenebbül tudják/tudták kiszolgálni a hallgatókat.</w:t>
      </w:r>
    </w:p>
    <w:p w:rsidR="00564C17" w:rsidRPr="008828C0" w:rsidRDefault="00564C17" w:rsidP="0090614F">
      <w:pPr>
        <w:numPr>
          <w:ilvl w:val="0"/>
          <w:numId w:val="5"/>
        </w:numPr>
        <w:tabs>
          <w:tab w:val="clear" w:pos="720"/>
          <w:tab w:val="num" w:pos="360"/>
        </w:tabs>
        <w:ind w:left="0" w:firstLine="0"/>
        <w:jc w:val="both"/>
      </w:pPr>
      <w:r w:rsidRPr="008828C0">
        <w:t xml:space="preserve">A vizsgák időpontjával, gyakoriságával kapcsolatos viszonylagos elégedettségnek ellentmondanak azok a hallgatói vélemények, melyek szerint több szombati vizsganap kellene. Ez a vélemény a tanulást akadályozó tényezők és a javaslatok között is nagy számban fordult </w:t>
      </w:r>
      <w:r w:rsidRPr="008828C0">
        <w:lastRenderedPageBreak/>
        <w:t>elő. Az egyik szakon a vidékieknek nehézséget jelent az is, hogy a vizsgák rend</w:t>
      </w:r>
      <w:r>
        <w:t>szeresen reggel 8-kor kezdődnek.</w:t>
      </w:r>
    </w:p>
    <w:p w:rsidR="00564C17" w:rsidRPr="008828C0" w:rsidRDefault="00564C17" w:rsidP="00C37D13">
      <w:pPr>
        <w:numPr>
          <w:ilvl w:val="0"/>
          <w:numId w:val="5"/>
        </w:numPr>
        <w:tabs>
          <w:tab w:val="clear" w:pos="720"/>
          <w:tab w:val="num" w:pos="360"/>
        </w:tabs>
        <w:ind w:left="0" w:firstLine="0"/>
        <w:jc w:val="both"/>
      </w:pPr>
      <w:r w:rsidRPr="008828C0">
        <w:t>Az oktatási módszerekkel a pontszám alapján szintén el</w:t>
      </w:r>
      <w:r>
        <w:t>égedettek a hallgatók. Ugyanakkor felmértük azt is</w:t>
      </w:r>
      <w:r w:rsidRPr="008828C0">
        <w:t>, hogy milyen oktatási módszerekkel találkoztak többször is a hallgatók a képzés során. Az eredményből megállapítható, hogy összességében a frontális oktatás dominál</w:t>
      </w:r>
      <w:r>
        <w:t xml:space="preserve"> (</w:t>
      </w:r>
      <w:r w:rsidRPr="008828C0">
        <w:t>előadás). Leginkább a projektmunka csekély előfordulása szembetűnő, pedig ez a módszer alkalmas a leginkább a munkahelyhez, munkához kapcsolatos feladatok, problémák feldolgozására.</w:t>
      </w:r>
    </w:p>
    <w:p w:rsidR="00564C17" w:rsidRPr="008828C0" w:rsidRDefault="00564C17" w:rsidP="00C37D13">
      <w:pPr>
        <w:spacing w:before="160"/>
        <w:jc w:val="center"/>
      </w:pPr>
      <w:r>
        <w:t>6. ábra: Oktatási módszerek</w:t>
      </w:r>
    </w:p>
    <w:p w:rsidR="00564C17" w:rsidRPr="008828C0" w:rsidRDefault="0045569C" w:rsidP="00A7481C">
      <w:pPr>
        <w:spacing w:before="160"/>
        <w:jc w:val="center"/>
      </w:pPr>
      <w:r>
        <w:rPr>
          <w:noProof/>
        </w:rPr>
        <w:drawing>
          <wp:inline distT="0" distB="0" distL="0" distR="0">
            <wp:extent cx="5591175" cy="25908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2590800"/>
                    </a:xfrm>
                    <a:prstGeom prst="rect">
                      <a:avLst/>
                    </a:prstGeom>
                    <a:noFill/>
                    <a:ln>
                      <a:noFill/>
                    </a:ln>
                  </pic:spPr>
                </pic:pic>
              </a:graphicData>
            </a:graphic>
          </wp:inline>
        </w:drawing>
      </w:r>
    </w:p>
    <w:p w:rsidR="00564C17" w:rsidRDefault="00564C17" w:rsidP="00C37D13">
      <w:pPr>
        <w:spacing w:before="160"/>
        <w:jc w:val="center"/>
      </w:pPr>
      <w:r>
        <w:t>Saját szerkesztés</w:t>
      </w:r>
    </w:p>
    <w:p w:rsidR="00564C17" w:rsidRPr="008828C0" w:rsidRDefault="00564C17" w:rsidP="00A7481C">
      <w:pPr>
        <w:spacing w:before="160"/>
        <w:jc w:val="both"/>
      </w:pPr>
      <w:r w:rsidRPr="008828C0">
        <w:t xml:space="preserve">Az </w:t>
      </w:r>
      <w:r w:rsidRPr="00C37D13">
        <w:rPr>
          <w:b/>
          <w:bCs/>
        </w:rPr>
        <w:t>egyes szakok között azonban jelentős a különbség</w:t>
      </w:r>
      <w:r w:rsidRPr="008828C0">
        <w:t xml:space="preserve"> e téren. Az alábbi táblázatban két szak</w:t>
      </w:r>
      <w:r>
        <w:t xml:space="preserve"> oktatási gyakorlatát hasonlítjuk</w:t>
      </w:r>
      <w:r w:rsidRPr="008828C0">
        <w:t xml:space="preserve"> össze. Mint látható, az „A” szakon jelentős az előadás dominanciája, míg a „B” szakon változatosabbak az oktatási módszerek. Belső benchmarkinggal feltárható, hogyan tudnak levelező képzés keretében az egyik szakon változatosabb módszereket alkalmazni, mint a másikon.</w:t>
      </w:r>
    </w:p>
    <w:p w:rsidR="00564C17" w:rsidRDefault="00564C17" w:rsidP="00C37D13">
      <w:pPr>
        <w:spacing w:before="160"/>
        <w:jc w:val="center"/>
      </w:pPr>
      <w:r>
        <w:t>1. táblázat: Két szak oktatási módszerei</w:t>
      </w:r>
    </w:p>
    <w:p w:rsidR="00564C17" w:rsidRPr="00C37D13" w:rsidRDefault="00564C17" w:rsidP="00C37D13">
      <w:pPr>
        <w:spacing w:before="160"/>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1164"/>
        <w:gridCol w:w="1157"/>
      </w:tblGrid>
      <w:tr w:rsidR="00564C17" w:rsidRPr="008828C0" w:rsidTr="00F26EE1">
        <w:trPr>
          <w:jc w:val="center"/>
        </w:trPr>
        <w:tc>
          <w:tcPr>
            <w:tcW w:w="3338" w:type="dxa"/>
            <w:vAlign w:val="center"/>
          </w:tcPr>
          <w:p w:rsidR="00564C17" w:rsidRPr="00BB27AB" w:rsidRDefault="00564C17" w:rsidP="00C37D13">
            <w:pPr>
              <w:spacing w:before="160"/>
              <w:jc w:val="both"/>
              <w:rPr>
                <w:b/>
                <w:bCs/>
              </w:rPr>
            </w:pPr>
            <w:r w:rsidRPr="00BB27AB">
              <w:rPr>
                <w:b/>
                <w:bCs/>
              </w:rPr>
              <w:t>Oktatási módszerek</w:t>
            </w:r>
          </w:p>
        </w:tc>
        <w:tc>
          <w:tcPr>
            <w:tcW w:w="1164" w:type="dxa"/>
          </w:tcPr>
          <w:p w:rsidR="00564C17" w:rsidRPr="00BB27AB" w:rsidRDefault="00564C17" w:rsidP="00C37D13">
            <w:pPr>
              <w:spacing w:before="160"/>
              <w:jc w:val="center"/>
              <w:rPr>
                <w:b/>
                <w:bCs/>
              </w:rPr>
            </w:pPr>
            <w:r w:rsidRPr="00BB27AB">
              <w:rPr>
                <w:b/>
                <w:bCs/>
              </w:rPr>
              <w:t>„A” szak</w:t>
            </w:r>
          </w:p>
        </w:tc>
        <w:tc>
          <w:tcPr>
            <w:tcW w:w="1157" w:type="dxa"/>
          </w:tcPr>
          <w:p w:rsidR="00564C17" w:rsidRPr="00BB27AB" w:rsidRDefault="00564C17" w:rsidP="00C37D13">
            <w:pPr>
              <w:spacing w:before="160"/>
              <w:jc w:val="center"/>
              <w:rPr>
                <w:b/>
                <w:bCs/>
              </w:rPr>
            </w:pPr>
            <w:r w:rsidRPr="00BB27AB">
              <w:rPr>
                <w:b/>
                <w:bCs/>
              </w:rPr>
              <w:t>„B” szak</w:t>
            </w:r>
          </w:p>
        </w:tc>
      </w:tr>
      <w:tr w:rsidR="00564C17" w:rsidRPr="008828C0" w:rsidTr="00F26EE1">
        <w:trPr>
          <w:jc w:val="center"/>
        </w:trPr>
        <w:tc>
          <w:tcPr>
            <w:tcW w:w="3338" w:type="dxa"/>
            <w:vAlign w:val="center"/>
          </w:tcPr>
          <w:p w:rsidR="00564C17" w:rsidRPr="008828C0" w:rsidRDefault="00564C17" w:rsidP="00A7481C">
            <w:pPr>
              <w:spacing w:before="160"/>
              <w:jc w:val="both"/>
            </w:pPr>
            <w:r w:rsidRPr="008828C0">
              <w:t>1. Előadás</w:t>
            </w:r>
          </w:p>
        </w:tc>
        <w:tc>
          <w:tcPr>
            <w:tcW w:w="1164" w:type="dxa"/>
          </w:tcPr>
          <w:p w:rsidR="00564C17" w:rsidRPr="008828C0" w:rsidRDefault="00564C17" w:rsidP="00A7481C">
            <w:pPr>
              <w:spacing w:before="160"/>
              <w:jc w:val="center"/>
            </w:pPr>
            <w:r w:rsidRPr="008828C0">
              <w:t>15</w:t>
            </w:r>
          </w:p>
        </w:tc>
        <w:tc>
          <w:tcPr>
            <w:tcW w:w="1157" w:type="dxa"/>
          </w:tcPr>
          <w:p w:rsidR="00564C17" w:rsidRPr="008828C0" w:rsidRDefault="00564C17" w:rsidP="00A7481C">
            <w:pPr>
              <w:spacing w:before="160"/>
              <w:jc w:val="center"/>
            </w:pPr>
            <w:r w:rsidRPr="008828C0">
              <w:t>25</w:t>
            </w:r>
          </w:p>
        </w:tc>
      </w:tr>
      <w:tr w:rsidR="00564C17" w:rsidRPr="008828C0" w:rsidTr="00F26EE1">
        <w:trPr>
          <w:jc w:val="center"/>
        </w:trPr>
        <w:tc>
          <w:tcPr>
            <w:tcW w:w="3338" w:type="dxa"/>
            <w:vAlign w:val="center"/>
          </w:tcPr>
          <w:p w:rsidR="00564C17" w:rsidRPr="008828C0" w:rsidRDefault="00564C17" w:rsidP="00A7481C">
            <w:pPr>
              <w:spacing w:before="160"/>
              <w:jc w:val="both"/>
            </w:pPr>
            <w:r w:rsidRPr="008828C0">
              <w:t>2. Hallgatói kiselőadás/</w:t>
            </w:r>
            <w:r>
              <w:t xml:space="preserve"> </w:t>
            </w:r>
            <w:r w:rsidRPr="008828C0">
              <w:t>prezentáció</w:t>
            </w:r>
          </w:p>
        </w:tc>
        <w:tc>
          <w:tcPr>
            <w:tcW w:w="1164" w:type="dxa"/>
          </w:tcPr>
          <w:p w:rsidR="00564C17" w:rsidRPr="008828C0" w:rsidRDefault="00564C17" w:rsidP="00A7481C">
            <w:pPr>
              <w:spacing w:before="160"/>
              <w:jc w:val="center"/>
            </w:pPr>
            <w:r w:rsidRPr="008828C0">
              <w:t>9</w:t>
            </w:r>
          </w:p>
        </w:tc>
        <w:tc>
          <w:tcPr>
            <w:tcW w:w="1157" w:type="dxa"/>
          </w:tcPr>
          <w:p w:rsidR="00564C17" w:rsidRPr="008828C0" w:rsidRDefault="00564C17" w:rsidP="00A7481C">
            <w:pPr>
              <w:spacing w:before="160"/>
              <w:jc w:val="center"/>
            </w:pPr>
            <w:r w:rsidRPr="008828C0">
              <w:t>8</w:t>
            </w:r>
          </w:p>
        </w:tc>
      </w:tr>
      <w:tr w:rsidR="00564C17" w:rsidRPr="008828C0" w:rsidTr="00F26EE1">
        <w:trPr>
          <w:jc w:val="center"/>
        </w:trPr>
        <w:tc>
          <w:tcPr>
            <w:tcW w:w="3338" w:type="dxa"/>
            <w:vAlign w:val="center"/>
          </w:tcPr>
          <w:p w:rsidR="00564C17" w:rsidRPr="008828C0" w:rsidRDefault="00564C17" w:rsidP="00A7481C">
            <w:pPr>
              <w:spacing w:before="160"/>
              <w:jc w:val="both"/>
            </w:pPr>
            <w:r w:rsidRPr="008828C0">
              <w:t>3. Megbeszélés, vita</w:t>
            </w:r>
          </w:p>
        </w:tc>
        <w:tc>
          <w:tcPr>
            <w:tcW w:w="1164" w:type="dxa"/>
          </w:tcPr>
          <w:p w:rsidR="00564C17" w:rsidRPr="008828C0" w:rsidRDefault="00564C17" w:rsidP="00A7481C">
            <w:pPr>
              <w:spacing w:before="160"/>
              <w:jc w:val="center"/>
            </w:pPr>
            <w:r w:rsidRPr="008828C0">
              <w:t>3</w:t>
            </w:r>
          </w:p>
        </w:tc>
        <w:tc>
          <w:tcPr>
            <w:tcW w:w="1157" w:type="dxa"/>
          </w:tcPr>
          <w:p w:rsidR="00564C17" w:rsidRPr="008828C0" w:rsidRDefault="00564C17" w:rsidP="00A7481C">
            <w:pPr>
              <w:spacing w:before="160"/>
              <w:jc w:val="center"/>
            </w:pPr>
            <w:r w:rsidRPr="008828C0">
              <w:t>23</w:t>
            </w:r>
          </w:p>
        </w:tc>
      </w:tr>
      <w:tr w:rsidR="00564C17" w:rsidRPr="008828C0" w:rsidTr="00F26EE1">
        <w:trPr>
          <w:jc w:val="center"/>
        </w:trPr>
        <w:tc>
          <w:tcPr>
            <w:tcW w:w="3338" w:type="dxa"/>
            <w:vAlign w:val="center"/>
          </w:tcPr>
          <w:p w:rsidR="00564C17" w:rsidRPr="008828C0" w:rsidRDefault="00564C17" w:rsidP="00A7481C">
            <w:pPr>
              <w:spacing w:before="160"/>
              <w:jc w:val="both"/>
            </w:pPr>
            <w:r w:rsidRPr="008828C0">
              <w:t>4. Szimuláció/szerepjáték</w:t>
            </w:r>
          </w:p>
        </w:tc>
        <w:tc>
          <w:tcPr>
            <w:tcW w:w="1164" w:type="dxa"/>
          </w:tcPr>
          <w:p w:rsidR="00564C17" w:rsidRPr="008828C0" w:rsidRDefault="00564C17" w:rsidP="00A7481C">
            <w:pPr>
              <w:spacing w:before="160"/>
              <w:jc w:val="center"/>
            </w:pPr>
            <w:r w:rsidRPr="008828C0">
              <w:t>4</w:t>
            </w:r>
          </w:p>
        </w:tc>
        <w:tc>
          <w:tcPr>
            <w:tcW w:w="1157" w:type="dxa"/>
          </w:tcPr>
          <w:p w:rsidR="00564C17" w:rsidRPr="008828C0" w:rsidRDefault="00564C17" w:rsidP="00A7481C">
            <w:pPr>
              <w:spacing w:before="160"/>
              <w:jc w:val="center"/>
            </w:pPr>
            <w:r w:rsidRPr="008828C0">
              <w:t>11</w:t>
            </w:r>
          </w:p>
        </w:tc>
      </w:tr>
      <w:tr w:rsidR="00564C17" w:rsidRPr="008828C0" w:rsidTr="00F26EE1">
        <w:trPr>
          <w:jc w:val="center"/>
        </w:trPr>
        <w:tc>
          <w:tcPr>
            <w:tcW w:w="3338" w:type="dxa"/>
            <w:vAlign w:val="center"/>
          </w:tcPr>
          <w:p w:rsidR="00564C17" w:rsidRPr="008828C0" w:rsidRDefault="00564C17" w:rsidP="00A7481C">
            <w:pPr>
              <w:spacing w:before="160"/>
              <w:jc w:val="both"/>
            </w:pPr>
            <w:r w:rsidRPr="008828C0">
              <w:t>5. Tréning</w:t>
            </w:r>
          </w:p>
        </w:tc>
        <w:tc>
          <w:tcPr>
            <w:tcW w:w="1164" w:type="dxa"/>
          </w:tcPr>
          <w:p w:rsidR="00564C17" w:rsidRPr="008828C0" w:rsidRDefault="00564C17" w:rsidP="00A7481C">
            <w:pPr>
              <w:spacing w:before="160"/>
              <w:jc w:val="center"/>
            </w:pPr>
            <w:r w:rsidRPr="008828C0">
              <w:t>6</w:t>
            </w:r>
          </w:p>
        </w:tc>
        <w:tc>
          <w:tcPr>
            <w:tcW w:w="1157" w:type="dxa"/>
          </w:tcPr>
          <w:p w:rsidR="00564C17" w:rsidRPr="008828C0" w:rsidRDefault="00564C17" w:rsidP="00A7481C">
            <w:pPr>
              <w:spacing w:before="160"/>
              <w:jc w:val="center"/>
            </w:pPr>
            <w:r w:rsidRPr="008828C0">
              <w:t>9</w:t>
            </w:r>
          </w:p>
        </w:tc>
      </w:tr>
      <w:tr w:rsidR="00564C17" w:rsidRPr="008828C0" w:rsidTr="00F26EE1">
        <w:trPr>
          <w:jc w:val="center"/>
        </w:trPr>
        <w:tc>
          <w:tcPr>
            <w:tcW w:w="3338" w:type="dxa"/>
            <w:vAlign w:val="center"/>
          </w:tcPr>
          <w:p w:rsidR="00564C17" w:rsidRPr="008828C0" w:rsidRDefault="00564C17" w:rsidP="00A7481C">
            <w:pPr>
              <w:spacing w:before="160"/>
              <w:jc w:val="both"/>
            </w:pPr>
            <w:r w:rsidRPr="008828C0">
              <w:t>6. Kiscsoportos munka</w:t>
            </w:r>
          </w:p>
        </w:tc>
        <w:tc>
          <w:tcPr>
            <w:tcW w:w="1164" w:type="dxa"/>
          </w:tcPr>
          <w:p w:rsidR="00564C17" w:rsidRPr="008828C0" w:rsidRDefault="00564C17" w:rsidP="00A7481C">
            <w:pPr>
              <w:spacing w:before="160"/>
              <w:jc w:val="center"/>
            </w:pPr>
            <w:r w:rsidRPr="008828C0">
              <w:t>6</w:t>
            </w:r>
          </w:p>
        </w:tc>
        <w:tc>
          <w:tcPr>
            <w:tcW w:w="1157" w:type="dxa"/>
          </w:tcPr>
          <w:p w:rsidR="00564C17" w:rsidRPr="008828C0" w:rsidRDefault="00564C17" w:rsidP="00A7481C">
            <w:pPr>
              <w:spacing w:before="160"/>
              <w:jc w:val="center"/>
            </w:pPr>
            <w:r w:rsidRPr="008828C0">
              <w:t>23</w:t>
            </w:r>
          </w:p>
        </w:tc>
      </w:tr>
      <w:tr w:rsidR="00564C17" w:rsidRPr="008828C0" w:rsidTr="00F26EE1">
        <w:trPr>
          <w:jc w:val="center"/>
        </w:trPr>
        <w:tc>
          <w:tcPr>
            <w:tcW w:w="3338" w:type="dxa"/>
            <w:vAlign w:val="center"/>
          </w:tcPr>
          <w:p w:rsidR="00564C17" w:rsidRPr="008828C0" w:rsidRDefault="00564C17" w:rsidP="00A7481C">
            <w:pPr>
              <w:spacing w:before="160"/>
              <w:jc w:val="both"/>
            </w:pPr>
            <w:r w:rsidRPr="008828C0">
              <w:t>7. Brainstorming (ötletbörze)</w:t>
            </w:r>
          </w:p>
        </w:tc>
        <w:tc>
          <w:tcPr>
            <w:tcW w:w="1164" w:type="dxa"/>
          </w:tcPr>
          <w:p w:rsidR="00564C17" w:rsidRPr="008828C0" w:rsidRDefault="00564C17" w:rsidP="00A7481C">
            <w:pPr>
              <w:spacing w:before="160"/>
              <w:jc w:val="center"/>
            </w:pPr>
            <w:r w:rsidRPr="008828C0">
              <w:t>2</w:t>
            </w:r>
          </w:p>
        </w:tc>
        <w:tc>
          <w:tcPr>
            <w:tcW w:w="1157" w:type="dxa"/>
          </w:tcPr>
          <w:p w:rsidR="00564C17" w:rsidRPr="008828C0" w:rsidRDefault="00564C17" w:rsidP="00A7481C">
            <w:pPr>
              <w:spacing w:before="160"/>
              <w:jc w:val="center"/>
            </w:pPr>
            <w:r w:rsidRPr="008828C0">
              <w:t>7</w:t>
            </w:r>
          </w:p>
        </w:tc>
      </w:tr>
      <w:tr w:rsidR="00564C17" w:rsidRPr="008828C0" w:rsidTr="00F26EE1">
        <w:trPr>
          <w:jc w:val="center"/>
        </w:trPr>
        <w:tc>
          <w:tcPr>
            <w:tcW w:w="3338" w:type="dxa"/>
            <w:vAlign w:val="center"/>
          </w:tcPr>
          <w:p w:rsidR="00564C17" w:rsidRPr="008828C0" w:rsidRDefault="00564C17" w:rsidP="00A7481C">
            <w:pPr>
              <w:spacing w:before="160"/>
              <w:jc w:val="both"/>
            </w:pPr>
            <w:r w:rsidRPr="008828C0">
              <w:t>8. Esettanulmány</w:t>
            </w:r>
          </w:p>
        </w:tc>
        <w:tc>
          <w:tcPr>
            <w:tcW w:w="1164" w:type="dxa"/>
          </w:tcPr>
          <w:p w:rsidR="00564C17" w:rsidRPr="008828C0" w:rsidRDefault="00564C17" w:rsidP="00A7481C">
            <w:pPr>
              <w:spacing w:before="160"/>
              <w:jc w:val="center"/>
            </w:pPr>
            <w:r w:rsidRPr="008828C0">
              <w:t>2</w:t>
            </w:r>
          </w:p>
        </w:tc>
        <w:tc>
          <w:tcPr>
            <w:tcW w:w="1157" w:type="dxa"/>
          </w:tcPr>
          <w:p w:rsidR="00564C17" w:rsidRPr="008828C0" w:rsidRDefault="00564C17" w:rsidP="00A7481C">
            <w:pPr>
              <w:spacing w:before="160"/>
              <w:jc w:val="center"/>
            </w:pPr>
            <w:r w:rsidRPr="008828C0">
              <w:t>19</w:t>
            </w:r>
          </w:p>
        </w:tc>
      </w:tr>
      <w:tr w:rsidR="00564C17" w:rsidRPr="008828C0" w:rsidTr="00F26EE1">
        <w:trPr>
          <w:jc w:val="center"/>
        </w:trPr>
        <w:tc>
          <w:tcPr>
            <w:tcW w:w="3338" w:type="dxa"/>
            <w:vAlign w:val="center"/>
          </w:tcPr>
          <w:p w:rsidR="00564C17" w:rsidRPr="008828C0" w:rsidRDefault="00564C17" w:rsidP="00A7481C">
            <w:pPr>
              <w:spacing w:before="160"/>
              <w:jc w:val="both"/>
            </w:pPr>
            <w:r w:rsidRPr="008828C0">
              <w:lastRenderedPageBreak/>
              <w:t>9. Projektmunka</w:t>
            </w:r>
          </w:p>
        </w:tc>
        <w:tc>
          <w:tcPr>
            <w:tcW w:w="1164" w:type="dxa"/>
          </w:tcPr>
          <w:p w:rsidR="00564C17" w:rsidRPr="008828C0" w:rsidRDefault="00564C17" w:rsidP="00A7481C">
            <w:pPr>
              <w:spacing w:before="160"/>
              <w:jc w:val="center"/>
            </w:pPr>
            <w:r w:rsidRPr="008828C0">
              <w:t>6</w:t>
            </w:r>
          </w:p>
        </w:tc>
        <w:tc>
          <w:tcPr>
            <w:tcW w:w="1157" w:type="dxa"/>
          </w:tcPr>
          <w:p w:rsidR="00564C17" w:rsidRPr="008828C0" w:rsidRDefault="00564C17" w:rsidP="00A7481C">
            <w:pPr>
              <w:spacing w:before="160"/>
              <w:jc w:val="center"/>
            </w:pPr>
            <w:r w:rsidRPr="008828C0">
              <w:t>5</w:t>
            </w:r>
          </w:p>
        </w:tc>
      </w:tr>
    </w:tbl>
    <w:p w:rsidR="00564C17" w:rsidRPr="008828C0" w:rsidRDefault="00564C17" w:rsidP="00C37D13">
      <w:pPr>
        <w:spacing w:before="160"/>
        <w:jc w:val="center"/>
      </w:pPr>
      <w:r>
        <w:t>Saját szerkesztés</w:t>
      </w:r>
    </w:p>
    <w:p w:rsidR="00564C17" w:rsidRPr="008828C0" w:rsidRDefault="00564C17" w:rsidP="00A7481C">
      <w:pPr>
        <w:spacing w:before="160"/>
        <w:jc w:val="both"/>
      </w:pPr>
      <w:r w:rsidRPr="008828C0">
        <w:t>Az oktatási módszerekhez kapcsolódik az a kérdés is, hogy a hallgatók mennyire elégedettek az elmélet és a gyakorlat arányával.</w:t>
      </w:r>
    </w:p>
    <w:p w:rsidR="00564C17" w:rsidRPr="008828C0" w:rsidRDefault="00564C17" w:rsidP="00C37D13">
      <w:pPr>
        <w:spacing w:before="160"/>
        <w:jc w:val="center"/>
      </w:pPr>
      <w:r>
        <w:t>7. ábra: Az elmélet és a gyakorlat arányának értékelése</w:t>
      </w:r>
    </w:p>
    <w:p w:rsidR="00564C17" w:rsidRPr="008828C0" w:rsidRDefault="0045569C" w:rsidP="00A7481C">
      <w:pPr>
        <w:spacing w:before="160"/>
        <w:jc w:val="center"/>
      </w:pPr>
      <w:r>
        <w:rPr>
          <w:noProof/>
        </w:rPr>
        <w:drawing>
          <wp:inline distT="0" distB="0" distL="0" distR="0">
            <wp:extent cx="4991100" cy="206692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2066925"/>
                    </a:xfrm>
                    <a:prstGeom prst="rect">
                      <a:avLst/>
                    </a:prstGeom>
                    <a:noFill/>
                    <a:ln>
                      <a:noFill/>
                    </a:ln>
                  </pic:spPr>
                </pic:pic>
              </a:graphicData>
            </a:graphic>
          </wp:inline>
        </w:drawing>
      </w:r>
    </w:p>
    <w:p w:rsidR="00564C17" w:rsidRPr="008828C0" w:rsidRDefault="00564C17" w:rsidP="00C37D13">
      <w:pPr>
        <w:spacing w:before="160"/>
        <w:jc w:val="center"/>
      </w:pPr>
      <w:r>
        <w:t>Saját szerkesztés</w:t>
      </w:r>
    </w:p>
    <w:p w:rsidR="00564C17" w:rsidRPr="008828C0" w:rsidRDefault="00564C17" w:rsidP="00A7481C">
      <w:pPr>
        <w:spacing w:before="160"/>
        <w:jc w:val="both"/>
      </w:pPr>
      <w:r w:rsidRPr="008828C0">
        <w:t xml:space="preserve">Miközben tehát az oktatási módszerekkel viszonylag elégedettek, </w:t>
      </w:r>
      <w:r w:rsidRPr="00C37D13">
        <w:rPr>
          <w:b/>
          <w:bCs/>
        </w:rPr>
        <w:t>a hallgatók fele szerint túl sok az elmélet</w:t>
      </w:r>
      <w:r w:rsidRPr="008828C0">
        <w:t xml:space="preserve"> az oktatásban. Az is intő eredmény, hogy az egyes szakokon jelentősen eltérő eredmények születtek: van olyan szak, ahol a hallgatók 87%-a szerint túl sok az elmélet. Ezen a szakon tartják a hallgatók a legkevésbé hasznosnak a tanultakat, és itt gondolják úgy a legnagyobb arányban, hogy az intézmény nem ismeri/veszi figyelembe a munkáltatók elvárásait. Ugyanakkor egy másik szakon a hallgatók 88%-a megfelelőnek tartja az elmélet és a gyakorlat arányát, és ugyanitt a legelégedettebbek a tanultak hasznosíthatóságával, valamint azzal, hogy az intézmény figyelembe veszi a munkáltatók elvárásait.</w:t>
      </w:r>
    </w:p>
    <w:p w:rsidR="00564C17" w:rsidRPr="008828C0" w:rsidRDefault="00564C17" w:rsidP="00F90C4E">
      <w:pPr>
        <w:spacing w:before="160"/>
        <w:jc w:val="center"/>
      </w:pPr>
      <w:r>
        <w:t>8. ábra: Az elmélet és a gyakorlat arányával való elégedettség két szakon</w:t>
      </w:r>
    </w:p>
    <w:p w:rsidR="00564C17" w:rsidRPr="008828C0" w:rsidRDefault="0045569C" w:rsidP="00A7481C">
      <w:pPr>
        <w:spacing w:before="160"/>
        <w:jc w:val="center"/>
      </w:pPr>
      <w:r>
        <w:rPr>
          <w:noProof/>
        </w:rPr>
        <w:drawing>
          <wp:inline distT="0" distB="0" distL="0" distR="0">
            <wp:extent cx="4991100" cy="206692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2066925"/>
                    </a:xfrm>
                    <a:prstGeom prst="rect">
                      <a:avLst/>
                    </a:prstGeom>
                    <a:noFill/>
                    <a:ln>
                      <a:noFill/>
                    </a:ln>
                  </pic:spPr>
                </pic:pic>
              </a:graphicData>
            </a:graphic>
          </wp:inline>
        </w:drawing>
      </w:r>
    </w:p>
    <w:p w:rsidR="00564C17" w:rsidRPr="008828C0" w:rsidRDefault="00564C17" w:rsidP="00F90C4E">
      <w:pPr>
        <w:spacing w:before="160"/>
        <w:jc w:val="center"/>
      </w:pPr>
      <w:r>
        <w:t>Saját szerkesztés</w:t>
      </w:r>
    </w:p>
    <w:p w:rsidR="00564C17" w:rsidRPr="008828C0" w:rsidRDefault="00564C17" w:rsidP="00A7481C">
      <w:pPr>
        <w:spacing w:before="160"/>
        <w:jc w:val="both"/>
      </w:pPr>
      <w:r w:rsidRPr="008828C0">
        <w:t xml:space="preserve">Örvendetes eredménye a felmérésnek, hogy </w:t>
      </w:r>
      <w:r w:rsidRPr="00F90C4E">
        <w:rPr>
          <w:b/>
          <w:bCs/>
        </w:rPr>
        <w:t>a 35 évnél idősebb hallgatók 83%-a nem érzi hátránynak az életkort</w:t>
      </w:r>
      <w:r w:rsidRPr="008828C0">
        <w:t xml:space="preserve"> a képzés során. </w:t>
      </w:r>
    </w:p>
    <w:p w:rsidR="00564C17" w:rsidRPr="008828C0" w:rsidRDefault="00564C17" w:rsidP="00F90C4E">
      <w:pPr>
        <w:spacing w:before="160"/>
        <w:jc w:val="center"/>
      </w:pPr>
      <w:r>
        <w:t>9. ábra: Az életkor szerepének értékelése</w:t>
      </w:r>
    </w:p>
    <w:p w:rsidR="00564C17" w:rsidRPr="008828C0" w:rsidRDefault="0045569C" w:rsidP="00A7481C">
      <w:pPr>
        <w:spacing w:before="160"/>
        <w:jc w:val="center"/>
      </w:pPr>
      <w:r>
        <w:rPr>
          <w:noProof/>
        </w:rPr>
        <w:lastRenderedPageBreak/>
        <w:drawing>
          <wp:inline distT="0" distB="0" distL="0" distR="0">
            <wp:extent cx="4991100" cy="2066925"/>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2066925"/>
                    </a:xfrm>
                    <a:prstGeom prst="rect">
                      <a:avLst/>
                    </a:prstGeom>
                    <a:noFill/>
                    <a:ln>
                      <a:noFill/>
                    </a:ln>
                  </pic:spPr>
                </pic:pic>
              </a:graphicData>
            </a:graphic>
          </wp:inline>
        </w:drawing>
      </w:r>
    </w:p>
    <w:p w:rsidR="00564C17" w:rsidRPr="008828C0" w:rsidRDefault="00564C17" w:rsidP="00F90C4E">
      <w:pPr>
        <w:spacing w:before="160"/>
        <w:jc w:val="center"/>
      </w:pPr>
      <w:r>
        <w:t>Saját szerkesztés</w:t>
      </w:r>
    </w:p>
    <w:p w:rsidR="00564C17" w:rsidRPr="008828C0" w:rsidRDefault="00564C17" w:rsidP="00A7481C">
      <w:pPr>
        <w:spacing w:before="160"/>
        <w:jc w:val="both"/>
      </w:pPr>
      <w:r w:rsidRPr="008828C0">
        <w:t xml:space="preserve">Előnyként a tapasztalatot, hátrányként az IKT eszközök alkalmazásának nehézségeit és a tanulási problémákat említették. Pozitív eredmény az is, hogy a hallgatók döntő többsége </w:t>
      </w:r>
      <w:r w:rsidRPr="00F90C4E">
        <w:rPr>
          <w:b/>
          <w:bCs/>
        </w:rPr>
        <w:t>kortól függetlenül folyamatos kapcsolatot tart a hallgatótársaival</w:t>
      </w:r>
      <w:r w:rsidRPr="008828C0">
        <w:t>.</w:t>
      </w:r>
    </w:p>
    <w:p w:rsidR="00564C17" w:rsidRPr="008828C0" w:rsidRDefault="00564C17" w:rsidP="00F90C4E">
      <w:pPr>
        <w:spacing w:before="160"/>
        <w:jc w:val="center"/>
      </w:pPr>
      <w:r>
        <w:t>10. ábra: kapcsolattartás a hallgatótársakkal</w:t>
      </w:r>
    </w:p>
    <w:p w:rsidR="00564C17" w:rsidRPr="008828C0" w:rsidRDefault="0045569C" w:rsidP="00A7481C">
      <w:pPr>
        <w:spacing w:before="160"/>
        <w:jc w:val="center"/>
      </w:pPr>
      <w:r>
        <w:rPr>
          <w:noProof/>
        </w:rPr>
        <w:drawing>
          <wp:inline distT="0" distB="0" distL="0" distR="0">
            <wp:extent cx="4991100" cy="2066925"/>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1100" cy="2066925"/>
                    </a:xfrm>
                    <a:prstGeom prst="rect">
                      <a:avLst/>
                    </a:prstGeom>
                    <a:noFill/>
                    <a:ln>
                      <a:noFill/>
                    </a:ln>
                  </pic:spPr>
                </pic:pic>
              </a:graphicData>
            </a:graphic>
          </wp:inline>
        </w:drawing>
      </w:r>
    </w:p>
    <w:p w:rsidR="00564C17" w:rsidRPr="008828C0" w:rsidRDefault="00564C17" w:rsidP="00F90C4E">
      <w:pPr>
        <w:spacing w:before="160"/>
        <w:jc w:val="center"/>
      </w:pPr>
      <w:r>
        <w:t>Saját szerkesztés</w:t>
      </w:r>
    </w:p>
    <w:p w:rsidR="00564C17" w:rsidRDefault="00564C17" w:rsidP="00FE3D7C">
      <w:pPr>
        <w:spacing w:before="160"/>
        <w:jc w:val="both"/>
      </w:pPr>
      <w:r w:rsidRPr="008828C0">
        <w:t>Mindez arra utal, hogy a 35 évnél idősebb hallgatók nincsenek a koruk miatt hátrányos helyzetben és nem szigetelődnek el a fiatalabbaktól. Valamint aláhúzza a tanulói közösségépítés szakirodalomban és empirikus kutatásokban is hangsúlyozott jelentőségét.</w:t>
      </w:r>
      <w:bookmarkStart w:id="5" w:name="_Toc425264886"/>
      <w:bookmarkStart w:id="6" w:name="_Toc433992902"/>
    </w:p>
    <w:p w:rsidR="00564C17" w:rsidRPr="00F90C4E" w:rsidRDefault="00564C17" w:rsidP="00FE3D7C">
      <w:pPr>
        <w:spacing w:before="160"/>
        <w:jc w:val="both"/>
      </w:pPr>
      <w:r w:rsidRPr="00F90C4E">
        <w:rPr>
          <w:b/>
          <w:bCs/>
        </w:rPr>
        <w:t>3. A hallgatók javaslatai</w:t>
      </w:r>
      <w:bookmarkEnd w:id="5"/>
      <w:bookmarkEnd w:id="6"/>
    </w:p>
    <w:p w:rsidR="00564C17" w:rsidRPr="008828C0" w:rsidRDefault="00564C17" w:rsidP="00A7481C">
      <w:pPr>
        <w:spacing w:before="160"/>
        <w:jc w:val="both"/>
      </w:pPr>
      <w:r w:rsidRPr="008828C0">
        <w:t xml:space="preserve">A felmérés harmadik része a hallgatók változtatási javaslatait gyűjtötte össze. A hallgatói javaslatok összhangban vannak a felmérés második részének eredményeivel. Ami az oktatásszervezésre vonatkozó javaslatokat illeti, sokan kérik </w:t>
      </w:r>
      <w:r w:rsidRPr="00F90C4E">
        <w:rPr>
          <w:b/>
          <w:bCs/>
        </w:rPr>
        <w:t>a pénteki konzultációk arányának csökkentését</w:t>
      </w:r>
      <w:r w:rsidRPr="008828C0">
        <w:t xml:space="preserve">, több szombati konzultációt és vizsgaidőpontot, valamint a </w:t>
      </w:r>
      <w:r w:rsidRPr="00F90C4E">
        <w:rPr>
          <w:b/>
          <w:bCs/>
        </w:rPr>
        <w:t>tanulmányi osztály péntek délut</w:t>
      </w:r>
      <w:r>
        <w:rPr>
          <w:b/>
          <w:bCs/>
        </w:rPr>
        <w:t xml:space="preserve">áni és szombat délelőtti nyitva </w:t>
      </w:r>
      <w:r w:rsidRPr="00F90C4E">
        <w:rPr>
          <w:b/>
          <w:bCs/>
        </w:rPr>
        <w:t>tartását</w:t>
      </w:r>
      <w:r w:rsidRPr="008828C0">
        <w:t xml:space="preserve">. A tanulmányi osztállyal kapcsolatban az ott dolgozók empatikusabb és rugalmasabb hozzáállását szintén többen is elvárnák. A </w:t>
      </w:r>
      <w:r w:rsidRPr="00F90C4E">
        <w:rPr>
          <w:b/>
          <w:bCs/>
        </w:rPr>
        <w:t>tájékoztatás, információ-áramlás javítását</w:t>
      </w:r>
      <w:r w:rsidRPr="008828C0">
        <w:t xml:space="preserve">, a honlap fejlesztését és aktualizálását, a tananyagok digitalizálását, az internetes vizsgáztatást is sokan tartanák fontosnak. Az oktatásra vonatkozó javaslatok között a legtöbbször </w:t>
      </w:r>
      <w:r w:rsidRPr="00F90C4E">
        <w:rPr>
          <w:b/>
          <w:bCs/>
        </w:rPr>
        <w:t>az előzetes tudás és munkatapasztalat beszámítása</w:t>
      </w:r>
      <w:r w:rsidRPr="008828C0">
        <w:t xml:space="preserve">, a </w:t>
      </w:r>
      <w:r w:rsidRPr="00F90C4E">
        <w:rPr>
          <w:b/>
          <w:bCs/>
        </w:rPr>
        <w:t>gyakorlati oktatás bővítése</w:t>
      </w:r>
      <w:r w:rsidRPr="008828C0">
        <w:t xml:space="preserve">, a </w:t>
      </w:r>
      <w:r w:rsidRPr="00F90C4E">
        <w:rPr>
          <w:b/>
          <w:bCs/>
        </w:rPr>
        <w:t>változatosabb oktatási módszerek</w:t>
      </w:r>
      <w:r w:rsidRPr="008828C0">
        <w:t xml:space="preserve"> és a beadandó dolgozatok számának csökkentése szerepel.</w:t>
      </w:r>
    </w:p>
    <w:p w:rsidR="00564C17" w:rsidRDefault="00564C17" w:rsidP="00F90C4E">
      <w:pPr>
        <w:rPr>
          <w:b/>
          <w:bCs/>
        </w:rPr>
      </w:pPr>
      <w:bookmarkStart w:id="7" w:name="_Toc425264888"/>
      <w:bookmarkStart w:id="8" w:name="_Toc433992904"/>
    </w:p>
    <w:p w:rsidR="00564C17" w:rsidRDefault="00564C17" w:rsidP="00F90C4E">
      <w:pPr>
        <w:spacing w:before="160"/>
        <w:rPr>
          <w:b/>
          <w:bCs/>
        </w:rPr>
      </w:pPr>
      <w:bookmarkStart w:id="9" w:name="_Toc425264889"/>
      <w:bookmarkStart w:id="10" w:name="_Toc433992905"/>
      <w:bookmarkEnd w:id="7"/>
      <w:bookmarkEnd w:id="8"/>
      <w:r>
        <w:rPr>
          <w:b/>
          <w:bCs/>
        </w:rPr>
        <w:lastRenderedPageBreak/>
        <w:t xml:space="preserve">2. </w:t>
      </w:r>
      <w:r w:rsidRPr="00F90C4E">
        <w:rPr>
          <w:b/>
          <w:bCs/>
        </w:rPr>
        <w:t>Helyzetértékelés</w:t>
      </w:r>
      <w:bookmarkEnd w:id="9"/>
      <w:bookmarkEnd w:id="10"/>
    </w:p>
    <w:p w:rsidR="00564C17" w:rsidRPr="00F90C4E" w:rsidRDefault="00564C17" w:rsidP="00F90C4E">
      <w:pPr>
        <w:spacing w:before="160"/>
        <w:jc w:val="both"/>
      </w:pPr>
      <w:r w:rsidRPr="00F90C4E">
        <w:t xml:space="preserve">A </w:t>
      </w:r>
      <w:r>
        <w:t xml:space="preserve">szervezetfejlesztésre irányuló </w:t>
      </w:r>
      <w:r w:rsidRPr="00F90C4E">
        <w:t>pro</w:t>
      </w:r>
      <w:r>
        <w:t>jekt tervnek</w:t>
      </w:r>
      <w:r w:rsidRPr="00F90C4E">
        <w:t xml:space="preserve"> minden esetben a jelenlegi helyzet értékeléséből kell kiindulni</w:t>
      </w:r>
      <w:r>
        <w:t>a</w:t>
      </w:r>
      <w:r w:rsidRPr="00F90C4E">
        <w:t>.</w:t>
      </w:r>
      <w:r>
        <w:t xml:space="preserve"> Ezért SWOT elemzést készítettünk a JGYPK-ról a felnőtthallgató-barát működés szempontjából.</w:t>
      </w:r>
    </w:p>
    <w:p w:rsidR="00564C17" w:rsidRPr="003601B0" w:rsidRDefault="00564C17" w:rsidP="00F90C4E">
      <w:pPr>
        <w:spacing w:before="160"/>
        <w:jc w:val="center"/>
      </w:pPr>
      <w:r>
        <w:t xml:space="preserve">2. táblázat: </w:t>
      </w:r>
      <w:r w:rsidRPr="003601B0">
        <w:t xml:space="preserve">A SZTE JGYPK SWOT elemzése a felnőtthallgató-barát működés szempontjából </w:t>
      </w:r>
    </w:p>
    <w:p w:rsidR="00564C17" w:rsidRDefault="00564C17" w:rsidP="00F90C4E">
      <w:pPr>
        <w:jc w:val="center"/>
      </w:pPr>
      <w:r w:rsidRPr="003601B0">
        <w:t>a hallgatói felmérés alapján</w:t>
      </w:r>
    </w:p>
    <w:p w:rsidR="00564C17" w:rsidRDefault="00564C17" w:rsidP="00F90C4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405"/>
      </w:tblGrid>
      <w:tr w:rsidR="00564C17" w:rsidRPr="003601B0" w:rsidTr="00F26EE1">
        <w:tc>
          <w:tcPr>
            <w:tcW w:w="0" w:type="auto"/>
          </w:tcPr>
          <w:p w:rsidR="00564C17" w:rsidRPr="00102DC8" w:rsidRDefault="00564C17" w:rsidP="00F90C4E">
            <w:pPr>
              <w:jc w:val="both"/>
              <w:rPr>
                <w:b/>
                <w:bCs/>
                <w:szCs w:val="24"/>
              </w:rPr>
            </w:pPr>
            <w:r w:rsidRPr="00102DC8">
              <w:rPr>
                <w:b/>
                <w:bCs/>
                <w:szCs w:val="24"/>
              </w:rPr>
              <w:t>ERŐSSÉGEK:</w:t>
            </w:r>
          </w:p>
          <w:p w:rsidR="00564C17" w:rsidRPr="00102DC8" w:rsidRDefault="00564C17" w:rsidP="00F90C4E">
            <w:pPr>
              <w:numPr>
                <w:ilvl w:val="0"/>
                <w:numId w:val="6"/>
              </w:numPr>
              <w:tabs>
                <w:tab w:val="clear" w:pos="720"/>
                <w:tab w:val="left" w:pos="360"/>
              </w:tabs>
              <w:ind w:left="0" w:firstLine="0"/>
              <w:jc w:val="both"/>
              <w:rPr>
                <w:szCs w:val="24"/>
              </w:rPr>
            </w:pPr>
            <w:r w:rsidRPr="00102DC8">
              <w:rPr>
                <w:szCs w:val="24"/>
              </w:rPr>
              <w:t xml:space="preserve">az intézményt jó hírneve </w:t>
            </w:r>
          </w:p>
          <w:p w:rsidR="00564C17" w:rsidRPr="00102DC8" w:rsidRDefault="00564C17" w:rsidP="00F90C4E">
            <w:pPr>
              <w:numPr>
                <w:ilvl w:val="0"/>
                <w:numId w:val="6"/>
              </w:numPr>
              <w:tabs>
                <w:tab w:val="clear" w:pos="720"/>
                <w:tab w:val="left" w:pos="360"/>
              </w:tabs>
              <w:ind w:left="0" w:firstLine="0"/>
              <w:jc w:val="both"/>
              <w:rPr>
                <w:szCs w:val="24"/>
              </w:rPr>
            </w:pPr>
            <w:r w:rsidRPr="00102DC8">
              <w:rPr>
                <w:szCs w:val="24"/>
              </w:rPr>
              <w:t>tanultak hasznossága a hallgatók szerint</w:t>
            </w:r>
          </w:p>
          <w:p w:rsidR="00564C17" w:rsidRPr="00102DC8" w:rsidRDefault="00564C17" w:rsidP="00F90C4E">
            <w:pPr>
              <w:numPr>
                <w:ilvl w:val="0"/>
                <w:numId w:val="6"/>
              </w:numPr>
              <w:tabs>
                <w:tab w:val="clear" w:pos="720"/>
                <w:tab w:val="left" w:pos="360"/>
              </w:tabs>
              <w:ind w:left="0" w:firstLine="0"/>
              <w:jc w:val="both"/>
              <w:rPr>
                <w:szCs w:val="24"/>
              </w:rPr>
            </w:pPr>
            <w:r w:rsidRPr="00102DC8">
              <w:rPr>
                <w:szCs w:val="24"/>
              </w:rPr>
              <w:t>számonkérési módszerek</w:t>
            </w:r>
          </w:p>
          <w:p w:rsidR="00564C17" w:rsidRPr="00102DC8" w:rsidRDefault="00564C17" w:rsidP="00F90C4E">
            <w:pPr>
              <w:numPr>
                <w:ilvl w:val="0"/>
                <w:numId w:val="6"/>
              </w:numPr>
              <w:tabs>
                <w:tab w:val="clear" w:pos="720"/>
                <w:tab w:val="left" w:pos="360"/>
              </w:tabs>
              <w:ind w:left="0" w:firstLine="0"/>
              <w:jc w:val="both"/>
              <w:rPr>
                <w:szCs w:val="24"/>
              </w:rPr>
            </w:pPr>
            <w:r w:rsidRPr="00102DC8">
              <w:rPr>
                <w:szCs w:val="24"/>
              </w:rPr>
              <w:t>IKT eszközök alkalmazása</w:t>
            </w:r>
          </w:p>
          <w:p w:rsidR="00564C17" w:rsidRPr="00102DC8" w:rsidRDefault="00564C17" w:rsidP="00F90C4E">
            <w:pPr>
              <w:numPr>
                <w:ilvl w:val="0"/>
                <w:numId w:val="6"/>
              </w:numPr>
              <w:tabs>
                <w:tab w:val="clear" w:pos="720"/>
                <w:tab w:val="left" w:pos="360"/>
              </w:tabs>
              <w:ind w:left="0" w:firstLine="0"/>
              <w:jc w:val="both"/>
              <w:rPr>
                <w:szCs w:val="24"/>
              </w:rPr>
            </w:pPr>
            <w:r w:rsidRPr="00102DC8">
              <w:rPr>
                <w:szCs w:val="24"/>
              </w:rPr>
              <w:t>elméleti és gyakorlati oktatás aránya (bizonyos képzéseken)</w:t>
            </w:r>
          </w:p>
          <w:p w:rsidR="00564C17" w:rsidRPr="00102DC8" w:rsidRDefault="00564C17" w:rsidP="00F90C4E">
            <w:pPr>
              <w:numPr>
                <w:ilvl w:val="0"/>
                <w:numId w:val="6"/>
              </w:numPr>
              <w:tabs>
                <w:tab w:val="clear" w:pos="720"/>
                <w:tab w:val="left" w:pos="360"/>
              </w:tabs>
              <w:ind w:left="0" w:firstLine="0"/>
              <w:jc w:val="both"/>
              <w:rPr>
                <w:szCs w:val="24"/>
              </w:rPr>
            </w:pPr>
            <w:r w:rsidRPr="00102DC8">
              <w:rPr>
                <w:szCs w:val="24"/>
              </w:rPr>
              <w:t>munkáltatók elvárásainak figyelembe vétele (bizonyos képzéseken)</w:t>
            </w:r>
          </w:p>
          <w:p w:rsidR="00564C17" w:rsidRPr="00102DC8" w:rsidRDefault="00564C17" w:rsidP="00F90C4E">
            <w:pPr>
              <w:numPr>
                <w:ilvl w:val="0"/>
                <w:numId w:val="6"/>
              </w:numPr>
              <w:tabs>
                <w:tab w:val="clear" w:pos="720"/>
                <w:tab w:val="left" w:pos="360"/>
              </w:tabs>
              <w:ind w:left="0" w:firstLine="0"/>
              <w:jc w:val="both"/>
              <w:rPr>
                <w:szCs w:val="24"/>
              </w:rPr>
            </w:pPr>
            <w:r w:rsidRPr="00102DC8">
              <w:rPr>
                <w:szCs w:val="24"/>
              </w:rPr>
              <w:t>tananyagok hozzáférhetősége</w:t>
            </w:r>
          </w:p>
          <w:p w:rsidR="00564C17" w:rsidRPr="00102DC8" w:rsidRDefault="00564C17" w:rsidP="00F90C4E">
            <w:pPr>
              <w:numPr>
                <w:ilvl w:val="0"/>
                <w:numId w:val="6"/>
              </w:numPr>
              <w:tabs>
                <w:tab w:val="clear" w:pos="720"/>
                <w:tab w:val="left" w:pos="360"/>
              </w:tabs>
              <w:ind w:left="0" w:firstLine="0"/>
              <w:jc w:val="both"/>
              <w:rPr>
                <w:szCs w:val="24"/>
              </w:rPr>
            </w:pPr>
            <w:r w:rsidRPr="00102DC8">
              <w:rPr>
                <w:szCs w:val="24"/>
              </w:rPr>
              <w:t>oktatási módszerek (bizonyos képzéseken)</w:t>
            </w:r>
          </w:p>
          <w:p w:rsidR="00564C17" w:rsidRPr="00102DC8" w:rsidRDefault="00564C17" w:rsidP="00F90C4E">
            <w:pPr>
              <w:numPr>
                <w:ilvl w:val="0"/>
                <w:numId w:val="6"/>
              </w:numPr>
              <w:tabs>
                <w:tab w:val="clear" w:pos="720"/>
                <w:tab w:val="left" w:pos="360"/>
              </w:tabs>
              <w:ind w:left="0" w:firstLine="0"/>
              <w:jc w:val="both"/>
              <w:rPr>
                <w:szCs w:val="24"/>
              </w:rPr>
            </w:pPr>
            <w:r w:rsidRPr="00102DC8">
              <w:rPr>
                <w:szCs w:val="24"/>
              </w:rPr>
              <w:t>erős elméleti képzés</w:t>
            </w:r>
          </w:p>
          <w:p w:rsidR="00564C17" w:rsidRPr="00102DC8" w:rsidRDefault="00564C17" w:rsidP="00F90C4E">
            <w:pPr>
              <w:jc w:val="both"/>
              <w:rPr>
                <w:szCs w:val="24"/>
              </w:rPr>
            </w:pPr>
          </w:p>
        </w:tc>
        <w:tc>
          <w:tcPr>
            <w:tcW w:w="0" w:type="auto"/>
          </w:tcPr>
          <w:p w:rsidR="00564C17" w:rsidRPr="00102DC8" w:rsidRDefault="00564C17" w:rsidP="00F90C4E">
            <w:pPr>
              <w:jc w:val="both"/>
              <w:rPr>
                <w:b/>
                <w:bCs/>
                <w:szCs w:val="24"/>
              </w:rPr>
            </w:pPr>
            <w:r w:rsidRPr="00102DC8">
              <w:rPr>
                <w:b/>
                <w:bCs/>
                <w:szCs w:val="24"/>
              </w:rPr>
              <w:t>GYENGESÉGEK:</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a felnőtthallgtókra fókuszáló funkciók, szervezeti egységek hiánya</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forráshiány</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a hallgató-központú tanulás szemlélete nem általános</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az előzetes tudás figyelembe vétele</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tanulmányi osztály nyitva tartása</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tájékoztatás, információ-áramlás (bizonyos képzéseken)</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konzultációk, vizsgák időpontja</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elméleti oktatás túlsúlya (bizonyos képzéseken)</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munkáltatók elvárásainak figyelembe vétele (bizonyos képzéseken)</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oktatók elérhetősége</w:t>
            </w:r>
          </w:p>
          <w:p w:rsidR="00564C17" w:rsidRPr="00102DC8" w:rsidRDefault="00564C17" w:rsidP="00F90C4E">
            <w:pPr>
              <w:numPr>
                <w:ilvl w:val="1"/>
                <w:numId w:val="1"/>
              </w:numPr>
              <w:tabs>
                <w:tab w:val="clear" w:pos="1440"/>
                <w:tab w:val="num" w:pos="328"/>
              </w:tabs>
              <w:ind w:left="0" w:hanging="32"/>
              <w:jc w:val="both"/>
              <w:rPr>
                <w:szCs w:val="24"/>
              </w:rPr>
            </w:pPr>
            <w:r w:rsidRPr="00102DC8">
              <w:rPr>
                <w:szCs w:val="24"/>
              </w:rPr>
              <w:t>oktatási módszerek (bizonyos képzéseken)</w:t>
            </w:r>
          </w:p>
        </w:tc>
      </w:tr>
      <w:tr w:rsidR="00564C17" w:rsidRPr="003601B0" w:rsidTr="000F7428">
        <w:trPr>
          <w:trHeight w:val="1967"/>
        </w:trPr>
        <w:tc>
          <w:tcPr>
            <w:tcW w:w="0" w:type="auto"/>
          </w:tcPr>
          <w:p w:rsidR="00564C17" w:rsidRPr="00102DC8" w:rsidRDefault="00564C17" w:rsidP="00F90C4E">
            <w:pPr>
              <w:jc w:val="both"/>
              <w:rPr>
                <w:b/>
                <w:bCs/>
                <w:szCs w:val="24"/>
              </w:rPr>
            </w:pPr>
            <w:r w:rsidRPr="00102DC8">
              <w:rPr>
                <w:b/>
                <w:bCs/>
                <w:szCs w:val="24"/>
              </w:rPr>
              <w:t>LEHETŐSÉGEK:</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intézetek és képzések közötti különbségek csökkentése, jó gyakorlatok általánossá tétele, tudásmegosztás</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online ügyintézés</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 xml:space="preserve">blended learning </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digitális tananyagok</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oktatási módszertan bővítése hallgatói aktivitáson és valós problémákon alapuló módszerekkel</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oktatók szakmai fejlesztése</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hallgatói igényfelmérés alapján történő oktatásszervezés</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oktatók egyéni teljesítményértékelése</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munkahelyi szakemberek bevonása az oktatásba, képzésfejlesztésbe</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hallgatói együttműködés ösztönzése</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előzetes tudás értékelési rendszerének kialakítása</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mentor-rendszer levelező tagozaton is</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bemeneti és kimeneti kompetenciák mérése, tanulási eredmény központú oktatás</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t>orientációs program a felvetteknek</w:t>
            </w:r>
          </w:p>
          <w:p w:rsidR="00564C17" w:rsidRPr="00102DC8" w:rsidRDefault="00564C17" w:rsidP="00F90C4E">
            <w:pPr>
              <w:numPr>
                <w:ilvl w:val="1"/>
                <w:numId w:val="1"/>
              </w:numPr>
              <w:tabs>
                <w:tab w:val="clear" w:pos="1440"/>
                <w:tab w:val="num" w:pos="360"/>
              </w:tabs>
              <w:ind w:left="0" w:firstLine="0"/>
              <w:jc w:val="both"/>
              <w:rPr>
                <w:szCs w:val="24"/>
              </w:rPr>
            </w:pPr>
            <w:r w:rsidRPr="00102DC8">
              <w:rPr>
                <w:szCs w:val="24"/>
              </w:rPr>
              <w:lastRenderedPageBreak/>
              <w:t>intézeti kapcsolattartó a levelezős hallgatóknak</w:t>
            </w:r>
          </w:p>
        </w:tc>
        <w:tc>
          <w:tcPr>
            <w:tcW w:w="0" w:type="auto"/>
          </w:tcPr>
          <w:p w:rsidR="00564C17" w:rsidRPr="00102DC8" w:rsidRDefault="00564C17" w:rsidP="00F90C4E">
            <w:pPr>
              <w:jc w:val="both"/>
              <w:rPr>
                <w:b/>
                <w:bCs/>
                <w:szCs w:val="24"/>
              </w:rPr>
            </w:pPr>
            <w:r w:rsidRPr="00102DC8">
              <w:rPr>
                <w:b/>
                <w:bCs/>
                <w:szCs w:val="24"/>
              </w:rPr>
              <w:lastRenderedPageBreak/>
              <w:t>FENYEGETÉSEK:</w:t>
            </w:r>
          </w:p>
          <w:p w:rsidR="00564C17" w:rsidRPr="00102DC8" w:rsidRDefault="00564C17" w:rsidP="00F90C4E">
            <w:pPr>
              <w:numPr>
                <w:ilvl w:val="1"/>
                <w:numId w:val="1"/>
              </w:numPr>
              <w:tabs>
                <w:tab w:val="clear" w:pos="1440"/>
                <w:tab w:val="num" w:pos="439"/>
              </w:tabs>
              <w:ind w:left="0" w:hanging="33"/>
              <w:jc w:val="both"/>
              <w:rPr>
                <w:szCs w:val="24"/>
              </w:rPr>
            </w:pPr>
            <w:r w:rsidRPr="00102DC8">
              <w:rPr>
                <w:szCs w:val="24"/>
              </w:rPr>
              <w:t>a munkáltatók nem támogatják a hallgatók képzésben való részvételét</w:t>
            </w:r>
          </w:p>
          <w:p w:rsidR="00564C17" w:rsidRPr="00102DC8" w:rsidRDefault="00564C17" w:rsidP="00F90C4E">
            <w:pPr>
              <w:numPr>
                <w:ilvl w:val="1"/>
                <w:numId w:val="1"/>
              </w:numPr>
              <w:tabs>
                <w:tab w:val="clear" w:pos="1440"/>
                <w:tab w:val="num" w:pos="439"/>
              </w:tabs>
              <w:ind w:left="0" w:hanging="33"/>
              <w:jc w:val="both"/>
              <w:rPr>
                <w:szCs w:val="24"/>
              </w:rPr>
            </w:pPr>
            <w:r w:rsidRPr="00102DC8">
              <w:rPr>
                <w:szCs w:val="24"/>
              </w:rPr>
              <w:t>a hallgatók nem belső motivációból, hanem a végzettséggel járó előnyökért tanulnak</w:t>
            </w:r>
          </w:p>
          <w:p w:rsidR="00564C17" w:rsidRPr="00102DC8" w:rsidRDefault="00564C17" w:rsidP="00F90C4E">
            <w:pPr>
              <w:numPr>
                <w:ilvl w:val="1"/>
                <w:numId w:val="1"/>
              </w:numPr>
              <w:tabs>
                <w:tab w:val="clear" w:pos="1440"/>
                <w:tab w:val="num" w:pos="439"/>
              </w:tabs>
              <w:ind w:left="0" w:hanging="33"/>
              <w:jc w:val="both"/>
              <w:rPr>
                <w:szCs w:val="24"/>
              </w:rPr>
            </w:pPr>
            <w:r w:rsidRPr="00102DC8">
              <w:rPr>
                <w:szCs w:val="24"/>
              </w:rPr>
              <w:t xml:space="preserve">az elméleti ismeretek nehezen alkalmazhatók munkahelyi környezetben </w:t>
            </w:r>
          </w:p>
          <w:p w:rsidR="00564C17" w:rsidRPr="00102DC8" w:rsidRDefault="00564C17" w:rsidP="00F90C4E">
            <w:pPr>
              <w:numPr>
                <w:ilvl w:val="1"/>
                <w:numId w:val="1"/>
              </w:numPr>
              <w:tabs>
                <w:tab w:val="clear" w:pos="1440"/>
                <w:tab w:val="num" w:pos="439"/>
              </w:tabs>
              <w:ind w:left="0" w:hanging="33"/>
              <w:jc w:val="both"/>
              <w:rPr>
                <w:szCs w:val="24"/>
              </w:rPr>
            </w:pPr>
            <w:r w:rsidRPr="00102DC8">
              <w:rPr>
                <w:szCs w:val="24"/>
              </w:rPr>
              <w:t>lemorzsolódás</w:t>
            </w:r>
          </w:p>
          <w:p w:rsidR="00564C17" w:rsidRPr="00102DC8" w:rsidRDefault="00564C17" w:rsidP="00F90C4E">
            <w:pPr>
              <w:numPr>
                <w:ilvl w:val="1"/>
                <w:numId w:val="1"/>
              </w:numPr>
              <w:tabs>
                <w:tab w:val="clear" w:pos="1440"/>
                <w:tab w:val="num" w:pos="439"/>
              </w:tabs>
              <w:ind w:left="0" w:hanging="33"/>
              <w:jc w:val="both"/>
              <w:rPr>
                <w:szCs w:val="24"/>
              </w:rPr>
            </w:pPr>
            <w:r w:rsidRPr="00102DC8">
              <w:rPr>
                <w:szCs w:val="24"/>
              </w:rPr>
              <w:t>a forráshiány lehetetlenné teszi a szervezetfejlesztés erőforrás-igényes elemeinek megvalósítását</w:t>
            </w:r>
          </w:p>
          <w:p w:rsidR="00564C17" w:rsidRPr="00102DC8" w:rsidRDefault="00564C17" w:rsidP="00F90C4E">
            <w:pPr>
              <w:jc w:val="both"/>
              <w:rPr>
                <w:szCs w:val="24"/>
              </w:rPr>
            </w:pPr>
          </w:p>
        </w:tc>
      </w:tr>
    </w:tbl>
    <w:p w:rsidR="00564C17" w:rsidRDefault="00564C17" w:rsidP="00F90C4E">
      <w:pPr>
        <w:rPr>
          <w:b/>
          <w:bCs/>
        </w:rPr>
      </w:pPr>
      <w:bookmarkStart w:id="11" w:name="_Toc425264890"/>
      <w:bookmarkStart w:id="12" w:name="_Toc433992906"/>
    </w:p>
    <w:p w:rsidR="00564C17" w:rsidRPr="00F90C4E" w:rsidRDefault="00564C17" w:rsidP="00F90C4E">
      <w:pPr>
        <w:rPr>
          <w:b/>
          <w:bCs/>
        </w:rPr>
      </w:pPr>
      <w:r>
        <w:rPr>
          <w:b/>
          <w:bCs/>
        </w:rPr>
        <w:t xml:space="preserve">3. </w:t>
      </w:r>
      <w:r w:rsidRPr="00F90C4E">
        <w:rPr>
          <w:b/>
          <w:bCs/>
        </w:rPr>
        <w:t>Javasolt beavatkozási területek és fejlesztések</w:t>
      </w:r>
      <w:bookmarkEnd w:id="11"/>
      <w:bookmarkEnd w:id="12"/>
    </w:p>
    <w:p w:rsidR="00564C17" w:rsidRDefault="00564C17" w:rsidP="00A7481C">
      <w:pPr>
        <w:spacing w:before="160"/>
        <w:jc w:val="both"/>
      </w:pPr>
      <w:r>
        <w:t>A primer kutatás eredményei alapján javasolható beavatkozási területek és fejlesztések a következők:</w:t>
      </w:r>
    </w:p>
    <w:p w:rsidR="00564C17" w:rsidRDefault="00564C17" w:rsidP="00150435">
      <w:pPr>
        <w:spacing w:before="160"/>
        <w:jc w:val="both"/>
        <w:rPr>
          <w:b/>
          <w:bCs/>
        </w:rPr>
      </w:pPr>
      <w:r w:rsidRPr="0071080C">
        <w:rPr>
          <w:b/>
          <w:bCs/>
        </w:rPr>
        <w:t>Oktatás, oktatásszervezés:</w:t>
      </w:r>
    </w:p>
    <w:p w:rsidR="00564C17" w:rsidRDefault="00564C17" w:rsidP="00150435">
      <w:pPr>
        <w:numPr>
          <w:ilvl w:val="0"/>
          <w:numId w:val="7"/>
        </w:numPr>
        <w:tabs>
          <w:tab w:val="clear" w:pos="720"/>
          <w:tab w:val="num" w:pos="360"/>
        </w:tabs>
        <w:spacing w:before="160"/>
        <w:ind w:left="0" w:firstLine="0"/>
        <w:jc w:val="both"/>
      </w:pPr>
      <w:r>
        <w:t>Javasoljuk megvizsgálni a blended learning bevezetésének lehetőségét a kar egy vagy néhány képzésén – elsősorban mesterképzésen vagy szakmai továbbképzésen. A blended learning lehetőséget adna arra, hogy a tényleges konzultációkon ne frontális módszert alkalmazzanak az oktatók és ne az elméleti tananyagot adják le, ugyanakkor nem követel olyan mértékű paradigmaváltást, mint a távoktatás. Ezzel összefüggésben, de ettől függetlenül is javasoljuk a tananyagok digitalizálásának ösztönzését a karon.</w:t>
      </w:r>
    </w:p>
    <w:p w:rsidR="00564C17" w:rsidRDefault="00564C17" w:rsidP="00150435">
      <w:pPr>
        <w:numPr>
          <w:ilvl w:val="0"/>
          <w:numId w:val="7"/>
        </w:numPr>
        <w:tabs>
          <w:tab w:val="clear" w:pos="720"/>
          <w:tab w:val="num" w:pos="360"/>
        </w:tabs>
        <w:ind w:left="0" w:firstLine="0"/>
        <w:jc w:val="both"/>
      </w:pPr>
      <w:r>
        <w:t xml:space="preserve">Belső benchmarkinggal javasoljuk feltárni, hogyan sikerül egyes képzéseken levelező tagozaton is változatos oktatási módszereket alkalmazni, és intézményen belül megosztani az erre vonatkozó jó gyakorlatokat. </w:t>
      </w:r>
    </w:p>
    <w:p w:rsidR="00564C17" w:rsidRDefault="00564C17" w:rsidP="00150435">
      <w:pPr>
        <w:numPr>
          <w:ilvl w:val="0"/>
          <w:numId w:val="7"/>
        </w:numPr>
        <w:tabs>
          <w:tab w:val="clear" w:pos="720"/>
          <w:tab w:val="num" w:pos="360"/>
        </w:tabs>
        <w:ind w:left="0" w:firstLine="0"/>
        <w:jc w:val="both"/>
      </w:pPr>
      <w:r>
        <w:t>Javasoljuk képzésenként áttekinteni annak lehetőségét, hogy az oktatott tartalomban kevesebb elméleti és több gyakorlati ismeretet adjanak át az oktatók.</w:t>
      </w:r>
    </w:p>
    <w:p w:rsidR="00564C17" w:rsidRDefault="00564C17" w:rsidP="00150435">
      <w:pPr>
        <w:numPr>
          <w:ilvl w:val="0"/>
          <w:numId w:val="7"/>
        </w:numPr>
        <w:tabs>
          <w:tab w:val="clear" w:pos="720"/>
          <w:tab w:val="num" w:pos="360"/>
        </w:tabs>
        <w:ind w:left="0" w:firstLine="0"/>
        <w:jc w:val="both"/>
      </w:pPr>
      <w:r>
        <w:t>Tekintettel arra, hogy a bemeneti és kimeneti kompetenciák mérése kötelező lesz, javasoljuk ennek rendszerét kidolgozni és a felmérések eredményét minél több szempontból elemezni és hasznosítani a képzési minőség javításában. Ezzel együtt javasoljuk szakmai rendezvényeken megismertetni az oktatókat a tanulási eredmény alapú oktatás eszméjével és a képesítési keretrendszerrel.</w:t>
      </w:r>
    </w:p>
    <w:p w:rsidR="00564C17" w:rsidRDefault="00564C17" w:rsidP="00150435">
      <w:pPr>
        <w:numPr>
          <w:ilvl w:val="0"/>
          <w:numId w:val="7"/>
        </w:numPr>
        <w:tabs>
          <w:tab w:val="clear" w:pos="720"/>
          <w:tab w:val="num" w:pos="360"/>
        </w:tabs>
        <w:ind w:left="0" w:firstLine="0"/>
        <w:jc w:val="both"/>
      </w:pPr>
      <w:r>
        <w:t>Javasoljuk kidolgozni az előzetes tudás mérésének és beszámításának általános elveit és módszereit, valamint az egyes szakokra vonatkozó egyedi gyakorlatot.</w:t>
      </w:r>
    </w:p>
    <w:p w:rsidR="00564C17" w:rsidRDefault="00564C17" w:rsidP="00150435">
      <w:pPr>
        <w:numPr>
          <w:ilvl w:val="0"/>
          <w:numId w:val="7"/>
        </w:numPr>
        <w:tabs>
          <w:tab w:val="clear" w:pos="720"/>
          <w:tab w:val="num" w:pos="360"/>
        </w:tabs>
        <w:ind w:left="0" w:firstLine="0"/>
        <w:jc w:val="both"/>
      </w:pPr>
      <w:r>
        <w:t xml:space="preserve">Javasoljuk az egyes képzéseken a tanév elején felmérni a hallgatók preferenciáit a levelezős konzultációk és a vizsgák időpontjára vonatkozóan, és a konzultációkat, valamint a vizsgákat </w:t>
      </w:r>
      <w:r w:rsidRPr="00150435">
        <w:t>lehetőség szerint</w:t>
      </w:r>
      <w:r>
        <w:t xml:space="preserve"> ehhez igazítani.</w:t>
      </w:r>
    </w:p>
    <w:p w:rsidR="00564C17" w:rsidRPr="0071080C" w:rsidRDefault="00564C17" w:rsidP="00150435">
      <w:pPr>
        <w:spacing w:before="160"/>
        <w:jc w:val="both"/>
        <w:rPr>
          <w:b/>
          <w:bCs/>
        </w:rPr>
      </w:pPr>
      <w:r w:rsidRPr="0071080C">
        <w:rPr>
          <w:b/>
          <w:bCs/>
        </w:rPr>
        <w:t>Szolgáltatások:</w:t>
      </w:r>
    </w:p>
    <w:p w:rsidR="00564C17" w:rsidRDefault="00564C17" w:rsidP="00150435">
      <w:pPr>
        <w:numPr>
          <w:ilvl w:val="0"/>
          <w:numId w:val="8"/>
        </w:numPr>
        <w:tabs>
          <w:tab w:val="clear" w:pos="720"/>
          <w:tab w:val="num" w:pos="360"/>
        </w:tabs>
        <w:spacing w:before="160"/>
        <w:ind w:left="0" w:firstLine="0"/>
        <w:jc w:val="both"/>
      </w:pPr>
      <w:r>
        <w:t>Javasoljuk megvizsgálni a hallgatók tájékoztatással, információ-áramlással kapcsolatos elégedetlenségének okait az érintett szakokon és azonnali változtatásokat kezdeményezni. Ebben segíthet más intézetek jó gyakorlatainak feltárása. Javasoljuk feltárni az IKT, az ETR, a Coospace és a Modulo nyújtotta, eddig esetlegesen kihasználatlan lehetőségeket. Javasoljuk áttekinteni a kari és intézeti honlapokon fellelhető adatok gazdagságát/szűkösségét, aktualitását, relevanciáját, hozzáférhetőségét. Intézkedni a kívánalmaknak nem megfelelő honlapok fejlesztéséről és folyamatos frissítéséről.</w:t>
      </w:r>
    </w:p>
    <w:p w:rsidR="00564C17" w:rsidRDefault="00564C17" w:rsidP="00150435">
      <w:pPr>
        <w:numPr>
          <w:ilvl w:val="0"/>
          <w:numId w:val="8"/>
        </w:numPr>
        <w:tabs>
          <w:tab w:val="clear" w:pos="720"/>
          <w:tab w:val="num" w:pos="360"/>
        </w:tabs>
        <w:ind w:left="0" w:firstLine="0"/>
        <w:jc w:val="both"/>
      </w:pPr>
      <w:r>
        <w:t xml:space="preserve">Javasoljuk minden képzésen egy olyan személy (oktató, oktatásszervező) megbízását, akihez a levelezős hallgatók bármilyen ügyben fordulhatnak, aki </w:t>
      </w:r>
      <w:r w:rsidRPr="00150435">
        <w:t>az ésszerűség keretei között</w:t>
      </w:r>
      <w:r>
        <w:t xml:space="preserve"> folyamatosan elérhető és szükség esetén azonnali tájékoztatást, segítséget tud nyújtani. E felelős munkáját kellő mértékben el kell ismerni a teljesítményértékelésben és a javadalmazásban.</w:t>
      </w:r>
    </w:p>
    <w:p w:rsidR="00564C17" w:rsidRDefault="00564C17" w:rsidP="00150435">
      <w:pPr>
        <w:numPr>
          <w:ilvl w:val="0"/>
          <w:numId w:val="8"/>
        </w:numPr>
        <w:tabs>
          <w:tab w:val="clear" w:pos="720"/>
          <w:tab w:val="num" w:pos="360"/>
        </w:tabs>
        <w:ind w:left="0" w:firstLine="0"/>
        <w:jc w:val="both"/>
      </w:pPr>
      <w:r>
        <w:lastRenderedPageBreak/>
        <w:t>Javasoljuk annak vizsgálatát, hogy van-e tényleges és számottevő hallgatói igény a péntek délután és szombat délelőtt történő ügyintézésre. Ha van, akkor javasoljuk a tanulmányi osztály nyitvatartási idejének megváltoztatását oly módon, hogy az péntek délután és szombat délelőtt is nyitva legyen legalább azokban az időszakokban, amikor a hallgatóknak több intéznivalójuk van. Emellett javasoljuk áttekinteni azokat az ügyeket, melyeket jelenleg a hallgatóknak személyesen kell a TO-n intézniük abból a szempontból, hogy kiválthatók-e a személyes ügyintézés más megoldásokkal.</w:t>
      </w:r>
    </w:p>
    <w:p w:rsidR="00564C17" w:rsidRDefault="00564C17" w:rsidP="00150435">
      <w:pPr>
        <w:numPr>
          <w:ilvl w:val="0"/>
          <w:numId w:val="8"/>
        </w:numPr>
        <w:tabs>
          <w:tab w:val="clear" w:pos="720"/>
          <w:tab w:val="num" w:pos="360"/>
        </w:tabs>
        <w:ind w:left="0" w:firstLine="0"/>
        <w:jc w:val="both"/>
      </w:pPr>
      <w:r>
        <w:t>Javasoljuk igény esetén a mentor-rendszer kipróbálását levelező tagozaton is.</w:t>
      </w:r>
    </w:p>
    <w:p w:rsidR="00564C17" w:rsidRDefault="00564C17" w:rsidP="00150435">
      <w:pPr>
        <w:numPr>
          <w:ilvl w:val="0"/>
          <w:numId w:val="8"/>
        </w:numPr>
        <w:tabs>
          <w:tab w:val="clear" w:pos="720"/>
          <w:tab w:val="num" w:pos="360"/>
        </w:tabs>
        <w:ind w:left="0" w:firstLine="0"/>
        <w:jc w:val="both"/>
      </w:pPr>
      <w:r>
        <w:t xml:space="preserve">Javasoljuk a jelenleg spontán szerveződő, magán-emailezéssel és a Facebookon működő hallgatói tanulóközösségek intézményesítését. Ha a kar közreműködne e csoportok szervezésében és működésében, valós szervezeti hátteret és virtuális felületet – ugyanakkor megfelelő függetlenséget és intimitást -- biztosítva ezeknek, nemcsak a hallgatóknak nyújtana hasznos szolgáltatást, de erősíthetné a hallgatók tartós kötődését az intézményhez. </w:t>
      </w:r>
    </w:p>
    <w:p w:rsidR="00564C17" w:rsidRPr="0071080C" w:rsidRDefault="00564C17" w:rsidP="006C30B1">
      <w:pPr>
        <w:spacing w:before="160"/>
        <w:rPr>
          <w:b/>
          <w:bCs/>
        </w:rPr>
      </w:pPr>
      <w:r w:rsidRPr="0071080C">
        <w:rPr>
          <w:b/>
          <w:bCs/>
        </w:rPr>
        <w:t>Szervezeti folyamatok:</w:t>
      </w:r>
    </w:p>
    <w:p w:rsidR="00564C17" w:rsidRDefault="00564C17" w:rsidP="006C30B1">
      <w:pPr>
        <w:numPr>
          <w:ilvl w:val="0"/>
          <w:numId w:val="9"/>
        </w:numPr>
        <w:tabs>
          <w:tab w:val="clear" w:pos="720"/>
          <w:tab w:val="num" w:pos="360"/>
        </w:tabs>
        <w:spacing w:before="160"/>
        <w:ind w:left="0" w:firstLine="0"/>
        <w:jc w:val="both"/>
      </w:pPr>
      <w:r>
        <w:t>Jelen szervezetfejlesztési programtól függetlenül is javasoljuk az egyéni teljesítményértékelési rendszer kidolgozását és bevezetését. (Erről részletesen lásd Keczer 2014/a). A felnőtthallgató-fókusz erősítése érdekében az értékelési rendszer teljesítmény-indikátorai és az egyéni célok között hangsúlyosan célszerű szerepeltetni az oktatói munka minőségével, a  felnőtthallgatókkal, a szakmai fejlődéssel, az IKT eszközök használatával stb. összefüggő tényezőket. A teljesítményértékelés részeként javasoljuk rendszeressé tenni az oktatók hallgatók általi értékelését, melynek során a felnőtthallgatók (levelező tagozatosok) külön értékelnek. Ezt praktikusan össze lehet kapcsolni a felnőtthallgatók tapasztalatainak, véleményének, javaslatainak rendszeres felmérésével a képzést illetően. Az egyéni teljesítményértékelés révén megteremthető annak objektív alapja, hogy a javadalmazási-előléptetési döntéseknél a felnőtthallgató-fókusszal kapcsolatos tényezőket is figyelembe vegyék. Ez motivációt jelenthet a felnőtthallgató-fókusz erősítésére a dolgozók munkavégzése során.</w:t>
      </w:r>
    </w:p>
    <w:p w:rsidR="00564C17" w:rsidRDefault="00564C17" w:rsidP="00ED326F">
      <w:pPr>
        <w:numPr>
          <w:ilvl w:val="0"/>
          <w:numId w:val="9"/>
        </w:numPr>
        <w:tabs>
          <w:tab w:val="clear" w:pos="720"/>
          <w:tab w:val="num" w:pos="360"/>
        </w:tabs>
        <w:ind w:left="0" w:firstLine="0"/>
        <w:jc w:val="both"/>
      </w:pPr>
      <w:r>
        <w:t>Javasoljuk az oktatók szakmai (jelen esetben elsősorban andragógiai) fejlesztési lehetőségeinek áttekintését. Célszerű elkerülni a kötelező „beiskolázást”, de adott esetben – ha a teljesítményértékelés komoly hiányosságokat jelez -- ez is szükséges lehet. Javasoljuk külső benchmarkinggal áttekinteni más, köztük külföldi felsőoktatási intézmények emberi erőforrás fejlesztési gyakorlatát, tapasztalatait, és ezek alapján a szakmai fejlesztés változatos formáiban gondolkodni. Az emberi erőforrás fejlesztési koncepció kialakításába javasoljuk bevonni azokat a kari szakembereket is, akik eddig is részt vettek a „képzők képzése” szervezésében.</w:t>
      </w:r>
    </w:p>
    <w:p w:rsidR="00564C17" w:rsidRDefault="00564C17" w:rsidP="00ED326F">
      <w:pPr>
        <w:numPr>
          <w:ilvl w:val="0"/>
          <w:numId w:val="9"/>
        </w:numPr>
        <w:tabs>
          <w:tab w:val="clear" w:pos="720"/>
          <w:tab w:val="num" w:pos="360"/>
        </w:tabs>
        <w:ind w:left="0" w:firstLine="0"/>
        <w:jc w:val="both"/>
      </w:pPr>
      <w:r>
        <w:t>Az emberi erőforrás fejlesztésével összefüggésben, de attól függetlenül is javasoljuk áttekinteni, hogy a karon milyen tudásmenedzsment megoldásokkal lehetne biztosítani az egyéneknél és különböző szervezeti egységeknél lévő explicit és tacit tudás megosztását és bővített felhasználását. Ide tartozhat a kari tudástérkép elkészítése, szakmai műhelyek, fórumok működtetése, a kollegiális (peer) tanácsadás, a jó gyakorlatok közzététele stb., melyeknek kiemelt területei lehetnek a felnőtthallgatókkal összefüggő kérdések. A karon ugyanis számos nagyszerű kezdeményezés, ötlet, gyakorlat, hasznosítható tudás, tapasztalat lelhető fel az egyének, intézetek szintjén, ezek azonban jelenleg máshol nemigen hasznosulnak.</w:t>
      </w:r>
    </w:p>
    <w:p w:rsidR="00564C17" w:rsidRDefault="00564C17" w:rsidP="00ED326F">
      <w:pPr>
        <w:numPr>
          <w:ilvl w:val="0"/>
          <w:numId w:val="9"/>
        </w:numPr>
        <w:tabs>
          <w:tab w:val="clear" w:pos="720"/>
          <w:tab w:val="num" w:pos="360"/>
        </w:tabs>
        <w:ind w:left="0" w:firstLine="0"/>
        <w:jc w:val="both"/>
      </w:pPr>
      <w:r>
        <w:t>Jelen szervezetfejlesztési programtól függetlenül is javasoljuk belső és külső benchmarking rendszeres lefolytatását a kar stratégiai célkitűzéseivel összefüggő kérdésekben.</w:t>
      </w:r>
    </w:p>
    <w:p w:rsidR="00564C17" w:rsidRDefault="00564C17" w:rsidP="00ED326F">
      <w:pPr>
        <w:numPr>
          <w:ilvl w:val="0"/>
          <w:numId w:val="9"/>
        </w:numPr>
        <w:tabs>
          <w:tab w:val="clear" w:pos="720"/>
          <w:tab w:val="num" w:pos="360"/>
        </w:tabs>
        <w:ind w:left="0" w:firstLine="0"/>
        <w:jc w:val="both"/>
      </w:pPr>
      <w:r>
        <w:t>A fentiek alapján megvalósított szervezetfejlesztéssel a kar felnőtthallgató-barát intézménnyé alakulhat. Ez olyan egyedi, a hazai felsőoktatásban újszerű szervezeti jellemző, melyet a kar önmeghatározásában, public relations tevékenységében, hallgatótoborzásában is célszerű hangsúlyozni annak érdekében, hogy a megvalósított fejlesztések versenyelőnyként jelentkezzenek.</w:t>
      </w:r>
    </w:p>
    <w:p w:rsidR="00564C17" w:rsidRDefault="00564C17" w:rsidP="00ED326F">
      <w:pPr>
        <w:numPr>
          <w:ilvl w:val="0"/>
          <w:numId w:val="9"/>
        </w:numPr>
        <w:tabs>
          <w:tab w:val="clear" w:pos="720"/>
          <w:tab w:val="num" w:pos="360"/>
        </w:tabs>
        <w:ind w:left="0" w:firstLine="0"/>
        <w:jc w:val="both"/>
      </w:pPr>
      <w:r>
        <w:lastRenderedPageBreak/>
        <w:t>Javasoljuk, hogy a kar a kormányzat felé éljen olyan javaslatokkal, kezdeményezésekkel, amelyek a képzések színvonalának veszélyeztetése nélkül lehetővé tennék újszerű, innovatív megoldások alkalmazását a felnőtthallgató-fókusz erősítésével összefüggésben. Ezeket a javaslatokat olyan kutatásokkal, szakmai háttéranyagokkal lehet alátámasztani, melyek lefolytatására, elkészítésére a kar oktatói-kutatói szakmai profiljuk alapján messzemenőkig alkalmasak. Javasoljuk ezen kutatások ösztönzését a kar belső tudományos pályázati rendszerében.</w:t>
      </w:r>
    </w:p>
    <w:sectPr w:rsidR="00564C17" w:rsidSect="001B15B6">
      <w:footerReference w:type="even" r:id="rId17"/>
      <w:footerReference w:type="default" r:id="rId18"/>
      <w:pgSz w:w="11906" w:h="16838"/>
      <w:pgMar w:top="1417" w:right="1417" w:bottom="1417" w:left="1417" w:header="708" w:footer="708"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93" w:rsidRDefault="007C1693" w:rsidP="002B2444">
      <w:r>
        <w:separator/>
      </w:r>
    </w:p>
  </w:endnote>
  <w:endnote w:type="continuationSeparator" w:id="0">
    <w:p w:rsidR="007C1693" w:rsidRDefault="007C1693" w:rsidP="002B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17" w:rsidRDefault="00564C17" w:rsidP="001B15B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64C17" w:rsidRDefault="00564C1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17" w:rsidRDefault="00564C17" w:rsidP="001B15B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453DA">
      <w:rPr>
        <w:rStyle w:val="Oldalszm"/>
        <w:noProof/>
      </w:rPr>
      <w:t>12</w:t>
    </w:r>
    <w:r>
      <w:rPr>
        <w:rStyle w:val="Oldalszm"/>
      </w:rPr>
      <w:fldChar w:fldCharType="end"/>
    </w:r>
  </w:p>
  <w:p w:rsidR="00564C17" w:rsidRDefault="00564C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93" w:rsidRDefault="007C1693" w:rsidP="002B2444">
      <w:r>
        <w:separator/>
      </w:r>
    </w:p>
  </w:footnote>
  <w:footnote w:type="continuationSeparator" w:id="0">
    <w:p w:rsidR="007C1693" w:rsidRDefault="007C1693" w:rsidP="002B2444">
      <w:r>
        <w:continuationSeparator/>
      </w:r>
    </w:p>
  </w:footnote>
  <w:footnote w:id="1">
    <w:p w:rsidR="00564C17" w:rsidRDefault="00564C17" w:rsidP="00A7481C">
      <w:pPr>
        <w:pStyle w:val="Lbjegyzetszveg"/>
        <w:jc w:val="both"/>
      </w:pPr>
      <w:r w:rsidRPr="00A7481C">
        <w:rPr>
          <w:rStyle w:val="Lbjegyzet-hivatkozs"/>
          <w:b w:val="0"/>
          <w:bCs w:val="0"/>
          <w:sz w:val="22"/>
          <w:szCs w:val="22"/>
        </w:rPr>
        <w:footnoteRef/>
      </w:r>
      <w:r w:rsidRPr="00A7481C">
        <w:rPr>
          <w:b w:val="0"/>
          <w:bCs w:val="0"/>
          <w:sz w:val="22"/>
          <w:szCs w:val="22"/>
        </w:rPr>
        <w:t xml:space="preserve"> Terjedelmi okok miatt a téma elméleti hátterét, a vonatkozó sz</w:t>
      </w:r>
      <w:r>
        <w:rPr>
          <w:b w:val="0"/>
          <w:bCs w:val="0"/>
          <w:sz w:val="22"/>
          <w:szCs w:val="22"/>
        </w:rPr>
        <w:t>akirodalmat ebben a tanulmány</w:t>
      </w:r>
      <w:r w:rsidRPr="00A7481C">
        <w:rPr>
          <w:b w:val="0"/>
          <w:bCs w:val="0"/>
          <w:sz w:val="22"/>
          <w:szCs w:val="22"/>
        </w:rPr>
        <w:t>ban nem mutatjuk be. A fentieket részletesen tartalmazza Keczer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3C56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58E26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4165B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12BA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DE6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0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08C4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29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5660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7825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90245"/>
    <w:multiLevelType w:val="hybridMultilevel"/>
    <w:tmpl w:val="EEB2A1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73A2E"/>
    <w:multiLevelType w:val="multilevel"/>
    <w:tmpl w:val="FFFFFFFF"/>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eastAsia="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2D0E2649"/>
    <w:multiLevelType w:val="hybridMultilevel"/>
    <w:tmpl w:val="2B8AC2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D4073"/>
    <w:multiLevelType w:val="multilevel"/>
    <w:tmpl w:val="FFFFFFF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358C001C"/>
    <w:multiLevelType w:val="hybridMultilevel"/>
    <w:tmpl w:val="BFD85D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B461A"/>
    <w:multiLevelType w:val="hybridMultilevel"/>
    <w:tmpl w:val="F830ED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F46FB"/>
    <w:multiLevelType w:val="hybridMultilevel"/>
    <w:tmpl w:val="7AC0BE6A"/>
    <w:lvl w:ilvl="0" w:tplc="5874F26E">
      <w:start w:val="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F5A89"/>
    <w:multiLevelType w:val="hybridMultilevel"/>
    <w:tmpl w:val="181090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C7657A"/>
    <w:multiLevelType w:val="hybridMultilevel"/>
    <w:tmpl w:val="7AB29B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775CC0"/>
    <w:multiLevelType w:val="hybridMultilevel"/>
    <w:tmpl w:val="D5781BD6"/>
    <w:lvl w:ilvl="0" w:tplc="5874F26E">
      <w:start w:val="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8"/>
  </w:num>
  <w:num w:numId="4">
    <w:abstractNumId w:val="17"/>
  </w:num>
  <w:num w:numId="5">
    <w:abstractNumId w:val="15"/>
  </w:num>
  <w:num w:numId="6">
    <w:abstractNumId w:val="16"/>
  </w:num>
  <w:num w:numId="7">
    <w:abstractNumId w:val="12"/>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44"/>
    <w:rsid w:val="00001FA8"/>
    <w:rsid w:val="00005D5C"/>
    <w:rsid w:val="00017540"/>
    <w:rsid w:val="00020384"/>
    <w:rsid w:val="000224FD"/>
    <w:rsid w:val="0002459A"/>
    <w:rsid w:val="00030B2D"/>
    <w:rsid w:val="00030B7D"/>
    <w:rsid w:val="00034759"/>
    <w:rsid w:val="0004690B"/>
    <w:rsid w:val="0004712C"/>
    <w:rsid w:val="00053F38"/>
    <w:rsid w:val="00056A7D"/>
    <w:rsid w:val="00060E1A"/>
    <w:rsid w:val="0006137C"/>
    <w:rsid w:val="00064CE4"/>
    <w:rsid w:val="000725D2"/>
    <w:rsid w:val="00074504"/>
    <w:rsid w:val="00082C94"/>
    <w:rsid w:val="00086D6B"/>
    <w:rsid w:val="00097DD6"/>
    <w:rsid w:val="000A003D"/>
    <w:rsid w:val="000A4CD9"/>
    <w:rsid w:val="000A5FC6"/>
    <w:rsid w:val="000B6A8A"/>
    <w:rsid w:val="000C1CD4"/>
    <w:rsid w:val="000D1DC6"/>
    <w:rsid w:val="000E1084"/>
    <w:rsid w:val="000E10C7"/>
    <w:rsid w:val="000E5BFD"/>
    <w:rsid w:val="000F2C1E"/>
    <w:rsid w:val="000F3CF5"/>
    <w:rsid w:val="000F7428"/>
    <w:rsid w:val="001002E0"/>
    <w:rsid w:val="00102DC8"/>
    <w:rsid w:val="00107CA8"/>
    <w:rsid w:val="00111552"/>
    <w:rsid w:val="001118BA"/>
    <w:rsid w:val="00117AC6"/>
    <w:rsid w:val="00126499"/>
    <w:rsid w:val="00126ABF"/>
    <w:rsid w:val="001302CA"/>
    <w:rsid w:val="00133866"/>
    <w:rsid w:val="00133CF1"/>
    <w:rsid w:val="00150435"/>
    <w:rsid w:val="00152153"/>
    <w:rsid w:val="001533A0"/>
    <w:rsid w:val="001611CC"/>
    <w:rsid w:val="00164667"/>
    <w:rsid w:val="0016544F"/>
    <w:rsid w:val="00172D98"/>
    <w:rsid w:val="00175C32"/>
    <w:rsid w:val="00177713"/>
    <w:rsid w:val="001813B2"/>
    <w:rsid w:val="0018693E"/>
    <w:rsid w:val="00187C4D"/>
    <w:rsid w:val="001933F3"/>
    <w:rsid w:val="0019356A"/>
    <w:rsid w:val="001938D1"/>
    <w:rsid w:val="001951AC"/>
    <w:rsid w:val="00196DE4"/>
    <w:rsid w:val="001A18E4"/>
    <w:rsid w:val="001A7362"/>
    <w:rsid w:val="001B15B6"/>
    <w:rsid w:val="001C399E"/>
    <w:rsid w:val="001D5EFE"/>
    <w:rsid w:val="001F0D5A"/>
    <w:rsid w:val="002117D5"/>
    <w:rsid w:val="002125F6"/>
    <w:rsid w:val="00217ABA"/>
    <w:rsid w:val="002265BF"/>
    <w:rsid w:val="00230ACC"/>
    <w:rsid w:val="00241A96"/>
    <w:rsid w:val="0024402B"/>
    <w:rsid w:val="002502FA"/>
    <w:rsid w:val="002511FE"/>
    <w:rsid w:val="00254C01"/>
    <w:rsid w:val="0026020A"/>
    <w:rsid w:val="00266310"/>
    <w:rsid w:val="0026778F"/>
    <w:rsid w:val="00271C0E"/>
    <w:rsid w:val="00273606"/>
    <w:rsid w:val="00273BE8"/>
    <w:rsid w:val="00274614"/>
    <w:rsid w:val="00275745"/>
    <w:rsid w:val="00280BA6"/>
    <w:rsid w:val="00280F9A"/>
    <w:rsid w:val="00283534"/>
    <w:rsid w:val="0028687F"/>
    <w:rsid w:val="00294B59"/>
    <w:rsid w:val="00296CAA"/>
    <w:rsid w:val="002A078F"/>
    <w:rsid w:val="002A1661"/>
    <w:rsid w:val="002A4BD5"/>
    <w:rsid w:val="002B2444"/>
    <w:rsid w:val="002B4015"/>
    <w:rsid w:val="002B6B98"/>
    <w:rsid w:val="002C1838"/>
    <w:rsid w:val="002D6070"/>
    <w:rsid w:val="002E11E0"/>
    <w:rsid w:val="002E1744"/>
    <w:rsid w:val="002E2A64"/>
    <w:rsid w:val="002E5797"/>
    <w:rsid w:val="002E61BA"/>
    <w:rsid w:val="002E65FA"/>
    <w:rsid w:val="002E6834"/>
    <w:rsid w:val="002E6BFB"/>
    <w:rsid w:val="002E754F"/>
    <w:rsid w:val="002F0C75"/>
    <w:rsid w:val="002F5029"/>
    <w:rsid w:val="00302EE8"/>
    <w:rsid w:val="00310360"/>
    <w:rsid w:val="00312FC8"/>
    <w:rsid w:val="00314193"/>
    <w:rsid w:val="0032174B"/>
    <w:rsid w:val="003249C2"/>
    <w:rsid w:val="00324E5D"/>
    <w:rsid w:val="00327EFF"/>
    <w:rsid w:val="00332034"/>
    <w:rsid w:val="003502BB"/>
    <w:rsid w:val="003578EC"/>
    <w:rsid w:val="003601B0"/>
    <w:rsid w:val="003612AC"/>
    <w:rsid w:val="00362258"/>
    <w:rsid w:val="00367EE0"/>
    <w:rsid w:val="00372F4F"/>
    <w:rsid w:val="00375C5C"/>
    <w:rsid w:val="003779D8"/>
    <w:rsid w:val="00381E05"/>
    <w:rsid w:val="00385535"/>
    <w:rsid w:val="00387EC0"/>
    <w:rsid w:val="003938D7"/>
    <w:rsid w:val="003947AF"/>
    <w:rsid w:val="00394B30"/>
    <w:rsid w:val="00397FC0"/>
    <w:rsid w:val="003A3F9A"/>
    <w:rsid w:val="003A6460"/>
    <w:rsid w:val="003A7D34"/>
    <w:rsid w:val="003B7F72"/>
    <w:rsid w:val="003C27DA"/>
    <w:rsid w:val="003D0F47"/>
    <w:rsid w:val="003D12C9"/>
    <w:rsid w:val="003D23A9"/>
    <w:rsid w:val="003D3FE1"/>
    <w:rsid w:val="003E1D52"/>
    <w:rsid w:val="003E65DC"/>
    <w:rsid w:val="003E7D31"/>
    <w:rsid w:val="003F0097"/>
    <w:rsid w:val="003F3F40"/>
    <w:rsid w:val="003F6864"/>
    <w:rsid w:val="003F6CB5"/>
    <w:rsid w:val="003F7803"/>
    <w:rsid w:val="004063FC"/>
    <w:rsid w:val="004111B2"/>
    <w:rsid w:val="00426F0F"/>
    <w:rsid w:val="00430241"/>
    <w:rsid w:val="00430C85"/>
    <w:rsid w:val="00430D2C"/>
    <w:rsid w:val="00430DCF"/>
    <w:rsid w:val="00434008"/>
    <w:rsid w:val="00434F2D"/>
    <w:rsid w:val="00442945"/>
    <w:rsid w:val="00447F65"/>
    <w:rsid w:val="004504CB"/>
    <w:rsid w:val="00451202"/>
    <w:rsid w:val="004513CB"/>
    <w:rsid w:val="00451F5B"/>
    <w:rsid w:val="0045569C"/>
    <w:rsid w:val="004627F0"/>
    <w:rsid w:val="004654BF"/>
    <w:rsid w:val="0047411D"/>
    <w:rsid w:val="00482EA4"/>
    <w:rsid w:val="00487730"/>
    <w:rsid w:val="00487CEF"/>
    <w:rsid w:val="00496DED"/>
    <w:rsid w:val="004A2ABD"/>
    <w:rsid w:val="004A4591"/>
    <w:rsid w:val="004A4892"/>
    <w:rsid w:val="004A6936"/>
    <w:rsid w:val="004A6B93"/>
    <w:rsid w:val="004C2CA0"/>
    <w:rsid w:val="004D046F"/>
    <w:rsid w:val="004D0563"/>
    <w:rsid w:val="004D0BB3"/>
    <w:rsid w:val="004D6513"/>
    <w:rsid w:val="004E521F"/>
    <w:rsid w:val="004F5E9F"/>
    <w:rsid w:val="005058BC"/>
    <w:rsid w:val="00507114"/>
    <w:rsid w:val="00511EC1"/>
    <w:rsid w:val="00517AB5"/>
    <w:rsid w:val="005201B5"/>
    <w:rsid w:val="00520B15"/>
    <w:rsid w:val="00523350"/>
    <w:rsid w:val="00525642"/>
    <w:rsid w:val="00527E15"/>
    <w:rsid w:val="00531A28"/>
    <w:rsid w:val="00532D89"/>
    <w:rsid w:val="00533203"/>
    <w:rsid w:val="0053453F"/>
    <w:rsid w:val="00536B71"/>
    <w:rsid w:val="00541412"/>
    <w:rsid w:val="005450AD"/>
    <w:rsid w:val="0054761F"/>
    <w:rsid w:val="00554758"/>
    <w:rsid w:val="00557413"/>
    <w:rsid w:val="00560F2A"/>
    <w:rsid w:val="005613AC"/>
    <w:rsid w:val="0056329C"/>
    <w:rsid w:val="005641C5"/>
    <w:rsid w:val="00564B7C"/>
    <w:rsid w:val="00564C17"/>
    <w:rsid w:val="00567961"/>
    <w:rsid w:val="00567EB0"/>
    <w:rsid w:val="00570FAF"/>
    <w:rsid w:val="0057253B"/>
    <w:rsid w:val="00573D65"/>
    <w:rsid w:val="00581928"/>
    <w:rsid w:val="00583B11"/>
    <w:rsid w:val="00591CD4"/>
    <w:rsid w:val="005973A1"/>
    <w:rsid w:val="005A3D7D"/>
    <w:rsid w:val="005A6CF6"/>
    <w:rsid w:val="005B1200"/>
    <w:rsid w:val="005B4A53"/>
    <w:rsid w:val="005B629A"/>
    <w:rsid w:val="005B78E4"/>
    <w:rsid w:val="005C0305"/>
    <w:rsid w:val="005C2712"/>
    <w:rsid w:val="005C7433"/>
    <w:rsid w:val="005C79A0"/>
    <w:rsid w:val="005D1DC8"/>
    <w:rsid w:val="005D27A4"/>
    <w:rsid w:val="005E6C06"/>
    <w:rsid w:val="005E6C91"/>
    <w:rsid w:val="005E78AF"/>
    <w:rsid w:val="005E7928"/>
    <w:rsid w:val="005F079F"/>
    <w:rsid w:val="005F7E44"/>
    <w:rsid w:val="006008E7"/>
    <w:rsid w:val="00605E4F"/>
    <w:rsid w:val="00616727"/>
    <w:rsid w:val="00634012"/>
    <w:rsid w:val="006423EA"/>
    <w:rsid w:val="006426D2"/>
    <w:rsid w:val="006460A1"/>
    <w:rsid w:val="0065070B"/>
    <w:rsid w:val="0065518E"/>
    <w:rsid w:val="00655372"/>
    <w:rsid w:val="00656D4C"/>
    <w:rsid w:val="00656F33"/>
    <w:rsid w:val="0065742E"/>
    <w:rsid w:val="00665BE6"/>
    <w:rsid w:val="00667844"/>
    <w:rsid w:val="006679B7"/>
    <w:rsid w:val="00667CB9"/>
    <w:rsid w:val="0067141F"/>
    <w:rsid w:val="00671929"/>
    <w:rsid w:val="00674295"/>
    <w:rsid w:val="00681BFD"/>
    <w:rsid w:val="006821B5"/>
    <w:rsid w:val="006831B4"/>
    <w:rsid w:val="0068526C"/>
    <w:rsid w:val="0068531C"/>
    <w:rsid w:val="00685A02"/>
    <w:rsid w:val="006945DC"/>
    <w:rsid w:val="0069653B"/>
    <w:rsid w:val="006974C4"/>
    <w:rsid w:val="006A1F90"/>
    <w:rsid w:val="006A3293"/>
    <w:rsid w:val="006A3C24"/>
    <w:rsid w:val="006A71F5"/>
    <w:rsid w:val="006B6082"/>
    <w:rsid w:val="006B6C78"/>
    <w:rsid w:val="006C30B1"/>
    <w:rsid w:val="006D20E4"/>
    <w:rsid w:val="006D266E"/>
    <w:rsid w:val="006D6875"/>
    <w:rsid w:val="006E7165"/>
    <w:rsid w:val="006F1A02"/>
    <w:rsid w:val="006F46AF"/>
    <w:rsid w:val="006F5527"/>
    <w:rsid w:val="006F5A89"/>
    <w:rsid w:val="007051AD"/>
    <w:rsid w:val="0071080C"/>
    <w:rsid w:val="007171D8"/>
    <w:rsid w:val="00721916"/>
    <w:rsid w:val="00725CC7"/>
    <w:rsid w:val="00727C60"/>
    <w:rsid w:val="0073094F"/>
    <w:rsid w:val="00731FC3"/>
    <w:rsid w:val="00751DFE"/>
    <w:rsid w:val="007612DC"/>
    <w:rsid w:val="00762628"/>
    <w:rsid w:val="0076276D"/>
    <w:rsid w:val="007633C5"/>
    <w:rsid w:val="007975F7"/>
    <w:rsid w:val="007A0D05"/>
    <w:rsid w:val="007B1155"/>
    <w:rsid w:val="007B1A44"/>
    <w:rsid w:val="007B2679"/>
    <w:rsid w:val="007B7469"/>
    <w:rsid w:val="007C02F0"/>
    <w:rsid w:val="007C1693"/>
    <w:rsid w:val="007D2A63"/>
    <w:rsid w:val="007D5080"/>
    <w:rsid w:val="007D6ACB"/>
    <w:rsid w:val="007E4A28"/>
    <w:rsid w:val="007F4FDE"/>
    <w:rsid w:val="007F53A8"/>
    <w:rsid w:val="007F5686"/>
    <w:rsid w:val="007F75A0"/>
    <w:rsid w:val="0080192B"/>
    <w:rsid w:val="00801CDB"/>
    <w:rsid w:val="00807CB0"/>
    <w:rsid w:val="0081188E"/>
    <w:rsid w:val="00812605"/>
    <w:rsid w:val="00815915"/>
    <w:rsid w:val="008171E5"/>
    <w:rsid w:val="00820FD2"/>
    <w:rsid w:val="00821311"/>
    <w:rsid w:val="00823A7B"/>
    <w:rsid w:val="00826720"/>
    <w:rsid w:val="00832ECB"/>
    <w:rsid w:val="00845ADE"/>
    <w:rsid w:val="00851983"/>
    <w:rsid w:val="00855306"/>
    <w:rsid w:val="00857CD9"/>
    <w:rsid w:val="00870BDF"/>
    <w:rsid w:val="008815ED"/>
    <w:rsid w:val="008818A9"/>
    <w:rsid w:val="008828C0"/>
    <w:rsid w:val="00885703"/>
    <w:rsid w:val="008A7CCB"/>
    <w:rsid w:val="008B1303"/>
    <w:rsid w:val="008B72F7"/>
    <w:rsid w:val="008C0EF5"/>
    <w:rsid w:val="008C7DD1"/>
    <w:rsid w:val="008C7F61"/>
    <w:rsid w:val="008D4C42"/>
    <w:rsid w:val="008D7787"/>
    <w:rsid w:val="008E502A"/>
    <w:rsid w:val="008E7E0D"/>
    <w:rsid w:val="008E7F76"/>
    <w:rsid w:val="008F04FE"/>
    <w:rsid w:val="008F0EB0"/>
    <w:rsid w:val="008F11C6"/>
    <w:rsid w:val="008F26BF"/>
    <w:rsid w:val="008F598F"/>
    <w:rsid w:val="00901592"/>
    <w:rsid w:val="0090614F"/>
    <w:rsid w:val="009100AC"/>
    <w:rsid w:val="009105F6"/>
    <w:rsid w:val="00911786"/>
    <w:rsid w:val="00917300"/>
    <w:rsid w:val="00920BC0"/>
    <w:rsid w:val="00926309"/>
    <w:rsid w:val="00927EB5"/>
    <w:rsid w:val="00936B72"/>
    <w:rsid w:val="0094179E"/>
    <w:rsid w:val="00941C13"/>
    <w:rsid w:val="00943CFE"/>
    <w:rsid w:val="0095175D"/>
    <w:rsid w:val="00951C6B"/>
    <w:rsid w:val="0095213C"/>
    <w:rsid w:val="0095288C"/>
    <w:rsid w:val="00955207"/>
    <w:rsid w:val="0095620A"/>
    <w:rsid w:val="00960F3C"/>
    <w:rsid w:val="00977D2F"/>
    <w:rsid w:val="0098503E"/>
    <w:rsid w:val="009852CA"/>
    <w:rsid w:val="00985B34"/>
    <w:rsid w:val="00995464"/>
    <w:rsid w:val="009A3C7A"/>
    <w:rsid w:val="009A4567"/>
    <w:rsid w:val="009A5FE8"/>
    <w:rsid w:val="009A6401"/>
    <w:rsid w:val="009A66DB"/>
    <w:rsid w:val="009A7BAD"/>
    <w:rsid w:val="009B50C8"/>
    <w:rsid w:val="009B60D2"/>
    <w:rsid w:val="009B6EB2"/>
    <w:rsid w:val="009B73AF"/>
    <w:rsid w:val="009C631F"/>
    <w:rsid w:val="009C7373"/>
    <w:rsid w:val="009D0BAA"/>
    <w:rsid w:val="009D1CF5"/>
    <w:rsid w:val="009D4FA2"/>
    <w:rsid w:val="009D7C07"/>
    <w:rsid w:val="009E1EF4"/>
    <w:rsid w:val="009E28B9"/>
    <w:rsid w:val="009E4528"/>
    <w:rsid w:val="009E4ABD"/>
    <w:rsid w:val="009E7C24"/>
    <w:rsid w:val="009F0A03"/>
    <w:rsid w:val="009F235D"/>
    <w:rsid w:val="009F4013"/>
    <w:rsid w:val="009F7B7D"/>
    <w:rsid w:val="009F7ECD"/>
    <w:rsid w:val="00A000F7"/>
    <w:rsid w:val="00A03B6A"/>
    <w:rsid w:val="00A070EF"/>
    <w:rsid w:val="00A07E5C"/>
    <w:rsid w:val="00A12DCE"/>
    <w:rsid w:val="00A1382E"/>
    <w:rsid w:val="00A14AAB"/>
    <w:rsid w:val="00A17C9E"/>
    <w:rsid w:val="00A206CA"/>
    <w:rsid w:val="00A22B55"/>
    <w:rsid w:val="00A239E1"/>
    <w:rsid w:val="00A30119"/>
    <w:rsid w:val="00A37EAC"/>
    <w:rsid w:val="00A4268E"/>
    <w:rsid w:val="00A4666A"/>
    <w:rsid w:val="00A51933"/>
    <w:rsid w:val="00A52F55"/>
    <w:rsid w:val="00A65BC9"/>
    <w:rsid w:val="00A67AA1"/>
    <w:rsid w:val="00A728D7"/>
    <w:rsid w:val="00A744A5"/>
    <w:rsid w:val="00A7481C"/>
    <w:rsid w:val="00A80C7B"/>
    <w:rsid w:val="00A83AC8"/>
    <w:rsid w:val="00AA1B06"/>
    <w:rsid w:val="00AA7EDD"/>
    <w:rsid w:val="00AB3D98"/>
    <w:rsid w:val="00AC0EF1"/>
    <w:rsid w:val="00AC289E"/>
    <w:rsid w:val="00AC29F8"/>
    <w:rsid w:val="00AC3432"/>
    <w:rsid w:val="00AC4CDA"/>
    <w:rsid w:val="00AC54D4"/>
    <w:rsid w:val="00AD042D"/>
    <w:rsid w:val="00AD0477"/>
    <w:rsid w:val="00AD1C37"/>
    <w:rsid w:val="00AD58A9"/>
    <w:rsid w:val="00AE15FA"/>
    <w:rsid w:val="00AE60DB"/>
    <w:rsid w:val="00AF1448"/>
    <w:rsid w:val="00AF1EE8"/>
    <w:rsid w:val="00AF2D71"/>
    <w:rsid w:val="00B03FBE"/>
    <w:rsid w:val="00B13ABE"/>
    <w:rsid w:val="00B17EFE"/>
    <w:rsid w:val="00B20343"/>
    <w:rsid w:val="00B24FF6"/>
    <w:rsid w:val="00B3525F"/>
    <w:rsid w:val="00B357CB"/>
    <w:rsid w:val="00B527FE"/>
    <w:rsid w:val="00B53A94"/>
    <w:rsid w:val="00B6269B"/>
    <w:rsid w:val="00B63DEE"/>
    <w:rsid w:val="00B656BC"/>
    <w:rsid w:val="00B70A67"/>
    <w:rsid w:val="00B82F9C"/>
    <w:rsid w:val="00B8716C"/>
    <w:rsid w:val="00B87494"/>
    <w:rsid w:val="00BA08D1"/>
    <w:rsid w:val="00BA2312"/>
    <w:rsid w:val="00BB0FC7"/>
    <w:rsid w:val="00BB27AB"/>
    <w:rsid w:val="00BB2CFD"/>
    <w:rsid w:val="00BB6618"/>
    <w:rsid w:val="00BB7C1E"/>
    <w:rsid w:val="00BB7C5C"/>
    <w:rsid w:val="00BC326F"/>
    <w:rsid w:val="00BC38B5"/>
    <w:rsid w:val="00BD4EE0"/>
    <w:rsid w:val="00BD52D5"/>
    <w:rsid w:val="00BD53AD"/>
    <w:rsid w:val="00BD5AD1"/>
    <w:rsid w:val="00BE2D78"/>
    <w:rsid w:val="00BE646F"/>
    <w:rsid w:val="00BE6CB1"/>
    <w:rsid w:val="00BF0D00"/>
    <w:rsid w:val="00BF6391"/>
    <w:rsid w:val="00BF6779"/>
    <w:rsid w:val="00BF67DF"/>
    <w:rsid w:val="00C0004B"/>
    <w:rsid w:val="00C010B3"/>
    <w:rsid w:val="00C01170"/>
    <w:rsid w:val="00C02DF9"/>
    <w:rsid w:val="00C03D38"/>
    <w:rsid w:val="00C04EF7"/>
    <w:rsid w:val="00C05E00"/>
    <w:rsid w:val="00C116BB"/>
    <w:rsid w:val="00C1235B"/>
    <w:rsid w:val="00C1588B"/>
    <w:rsid w:val="00C15E32"/>
    <w:rsid w:val="00C16DF5"/>
    <w:rsid w:val="00C37D13"/>
    <w:rsid w:val="00C467AC"/>
    <w:rsid w:val="00C5070F"/>
    <w:rsid w:val="00C53369"/>
    <w:rsid w:val="00C571FC"/>
    <w:rsid w:val="00C636EC"/>
    <w:rsid w:val="00C644ED"/>
    <w:rsid w:val="00C64688"/>
    <w:rsid w:val="00C665CA"/>
    <w:rsid w:val="00C754BD"/>
    <w:rsid w:val="00C858BE"/>
    <w:rsid w:val="00C9481A"/>
    <w:rsid w:val="00C94938"/>
    <w:rsid w:val="00C975A2"/>
    <w:rsid w:val="00CA0A13"/>
    <w:rsid w:val="00CA5DBC"/>
    <w:rsid w:val="00CB33D9"/>
    <w:rsid w:val="00CC1A68"/>
    <w:rsid w:val="00CC1FBA"/>
    <w:rsid w:val="00CC5DC6"/>
    <w:rsid w:val="00CC7DBD"/>
    <w:rsid w:val="00CD2042"/>
    <w:rsid w:val="00CD6F7D"/>
    <w:rsid w:val="00CE7211"/>
    <w:rsid w:val="00CF2021"/>
    <w:rsid w:val="00CF38AC"/>
    <w:rsid w:val="00CF4E59"/>
    <w:rsid w:val="00CF6BDF"/>
    <w:rsid w:val="00D003EB"/>
    <w:rsid w:val="00D02E2E"/>
    <w:rsid w:val="00D11E33"/>
    <w:rsid w:val="00D150E0"/>
    <w:rsid w:val="00D2335A"/>
    <w:rsid w:val="00D27675"/>
    <w:rsid w:val="00D303CE"/>
    <w:rsid w:val="00D378D3"/>
    <w:rsid w:val="00D422AD"/>
    <w:rsid w:val="00D453DA"/>
    <w:rsid w:val="00D54966"/>
    <w:rsid w:val="00D60421"/>
    <w:rsid w:val="00D607EF"/>
    <w:rsid w:val="00D66FC0"/>
    <w:rsid w:val="00D729DF"/>
    <w:rsid w:val="00D73694"/>
    <w:rsid w:val="00D82DB0"/>
    <w:rsid w:val="00D85741"/>
    <w:rsid w:val="00D8677D"/>
    <w:rsid w:val="00D901B0"/>
    <w:rsid w:val="00D92DD6"/>
    <w:rsid w:val="00D958DD"/>
    <w:rsid w:val="00D95FE3"/>
    <w:rsid w:val="00DA11E9"/>
    <w:rsid w:val="00DA2755"/>
    <w:rsid w:val="00DA4366"/>
    <w:rsid w:val="00DB058C"/>
    <w:rsid w:val="00DB137B"/>
    <w:rsid w:val="00DB187A"/>
    <w:rsid w:val="00DB29C9"/>
    <w:rsid w:val="00DB568E"/>
    <w:rsid w:val="00DB64E0"/>
    <w:rsid w:val="00DF267C"/>
    <w:rsid w:val="00E00524"/>
    <w:rsid w:val="00E00CE5"/>
    <w:rsid w:val="00E02C40"/>
    <w:rsid w:val="00E0313E"/>
    <w:rsid w:val="00E038F0"/>
    <w:rsid w:val="00E04898"/>
    <w:rsid w:val="00E0778D"/>
    <w:rsid w:val="00E10738"/>
    <w:rsid w:val="00E13E77"/>
    <w:rsid w:val="00E14DB4"/>
    <w:rsid w:val="00E17BC3"/>
    <w:rsid w:val="00E215F8"/>
    <w:rsid w:val="00E23F0E"/>
    <w:rsid w:val="00E24644"/>
    <w:rsid w:val="00E272EB"/>
    <w:rsid w:val="00E3704F"/>
    <w:rsid w:val="00E427C4"/>
    <w:rsid w:val="00E4682B"/>
    <w:rsid w:val="00E5004E"/>
    <w:rsid w:val="00E504E2"/>
    <w:rsid w:val="00E602AF"/>
    <w:rsid w:val="00E66933"/>
    <w:rsid w:val="00E6703B"/>
    <w:rsid w:val="00E7089C"/>
    <w:rsid w:val="00E72243"/>
    <w:rsid w:val="00E73D89"/>
    <w:rsid w:val="00E7470B"/>
    <w:rsid w:val="00E74AEE"/>
    <w:rsid w:val="00E81BA8"/>
    <w:rsid w:val="00E8373A"/>
    <w:rsid w:val="00E91556"/>
    <w:rsid w:val="00E919FB"/>
    <w:rsid w:val="00E96ACF"/>
    <w:rsid w:val="00EA4A7E"/>
    <w:rsid w:val="00EB5609"/>
    <w:rsid w:val="00EC305B"/>
    <w:rsid w:val="00EC4249"/>
    <w:rsid w:val="00EC6817"/>
    <w:rsid w:val="00ED1748"/>
    <w:rsid w:val="00ED326F"/>
    <w:rsid w:val="00ED5F40"/>
    <w:rsid w:val="00ED6E8F"/>
    <w:rsid w:val="00EE4515"/>
    <w:rsid w:val="00EE61A5"/>
    <w:rsid w:val="00EF077B"/>
    <w:rsid w:val="00EF5300"/>
    <w:rsid w:val="00F006AB"/>
    <w:rsid w:val="00F00E68"/>
    <w:rsid w:val="00F02A32"/>
    <w:rsid w:val="00F14E35"/>
    <w:rsid w:val="00F17259"/>
    <w:rsid w:val="00F20A68"/>
    <w:rsid w:val="00F2458F"/>
    <w:rsid w:val="00F26EE1"/>
    <w:rsid w:val="00F2725C"/>
    <w:rsid w:val="00F27277"/>
    <w:rsid w:val="00F3241B"/>
    <w:rsid w:val="00F32902"/>
    <w:rsid w:val="00F3453C"/>
    <w:rsid w:val="00F354B2"/>
    <w:rsid w:val="00F35523"/>
    <w:rsid w:val="00F45C95"/>
    <w:rsid w:val="00F46D3C"/>
    <w:rsid w:val="00F56BCF"/>
    <w:rsid w:val="00F6126F"/>
    <w:rsid w:val="00F63255"/>
    <w:rsid w:val="00F635F0"/>
    <w:rsid w:val="00F66638"/>
    <w:rsid w:val="00F66989"/>
    <w:rsid w:val="00F739FD"/>
    <w:rsid w:val="00F73E2A"/>
    <w:rsid w:val="00F76D27"/>
    <w:rsid w:val="00F85D9F"/>
    <w:rsid w:val="00F86919"/>
    <w:rsid w:val="00F90C4E"/>
    <w:rsid w:val="00F91CD4"/>
    <w:rsid w:val="00F92E7D"/>
    <w:rsid w:val="00F94706"/>
    <w:rsid w:val="00FA0877"/>
    <w:rsid w:val="00FC35FC"/>
    <w:rsid w:val="00FC5162"/>
    <w:rsid w:val="00FC626E"/>
    <w:rsid w:val="00FC6CA5"/>
    <w:rsid w:val="00FD1A9F"/>
    <w:rsid w:val="00FD497F"/>
    <w:rsid w:val="00FD7A79"/>
    <w:rsid w:val="00FE3D7C"/>
    <w:rsid w:val="00FF1F1B"/>
    <w:rsid w:val="00FF219D"/>
    <w:rsid w:val="00FF26E5"/>
    <w:rsid w:val="00FF58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89DAB8"/>
  <w15:docId w15:val="{B46D6C47-7E36-4536-9839-3B11467C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2B2444"/>
    <w:rPr>
      <w:sz w:val="24"/>
      <w:szCs w:val="20"/>
    </w:rPr>
  </w:style>
  <w:style w:type="paragraph" w:styleId="Cmsor1">
    <w:name w:val="heading 1"/>
    <w:basedOn w:val="Norml"/>
    <w:link w:val="Cmsor1Char"/>
    <w:uiPriority w:val="99"/>
    <w:qFormat/>
    <w:rsid w:val="002B2444"/>
    <w:pPr>
      <w:spacing w:before="100" w:after="100"/>
      <w:outlineLvl w:val="0"/>
    </w:pPr>
    <w:rPr>
      <w:b/>
      <w:sz w:val="48"/>
    </w:rPr>
  </w:style>
  <w:style w:type="paragraph" w:styleId="Cmsor2">
    <w:name w:val="heading 2"/>
    <w:basedOn w:val="Norml"/>
    <w:link w:val="Cmsor2Char"/>
    <w:uiPriority w:val="99"/>
    <w:qFormat/>
    <w:rsid w:val="002B2444"/>
    <w:pPr>
      <w:keepNext/>
      <w:spacing w:before="240" w:after="60"/>
      <w:outlineLvl w:val="1"/>
    </w:pPr>
    <w:rPr>
      <w:rFonts w:ascii="Arial" w:hAnsi="Arial" w:cs="Arial"/>
      <w:b/>
      <w:i/>
      <w:sz w:val="28"/>
    </w:rPr>
  </w:style>
  <w:style w:type="paragraph" w:styleId="Cmsor3">
    <w:name w:val="heading 3"/>
    <w:basedOn w:val="Norml"/>
    <w:next w:val="Norml"/>
    <w:link w:val="Cmsor3Char"/>
    <w:uiPriority w:val="99"/>
    <w:qFormat/>
    <w:rsid w:val="002B2444"/>
    <w:pPr>
      <w:keepNext/>
      <w:keepLines/>
      <w:spacing w:before="200"/>
      <w:outlineLvl w:val="2"/>
    </w:pPr>
    <w:rPr>
      <w:rFonts w:ascii="Cambria" w:hAnsi="Cambria"/>
      <w:b/>
      <w:color w:val="4F81BD"/>
    </w:rPr>
  </w:style>
  <w:style w:type="paragraph" w:styleId="Cmsor4">
    <w:name w:val="heading 4"/>
    <w:basedOn w:val="Norml"/>
    <w:next w:val="Norml"/>
    <w:link w:val="Cmsor4Char"/>
    <w:uiPriority w:val="99"/>
    <w:qFormat/>
    <w:rsid w:val="002B2444"/>
    <w:pPr>
      <w:keepNext/>
      <w:keepLines/>
      <w:spacing w:before="200"/>
      <w:outlineLvl w:val="3"/>
    </w:pPr>
    <w:rPr>
      <w:rFonts w:ascii="Cambria" w:hAnsi="Cambria"/>
      <w:b/>
      <w:i/>
      <w:color w:val="4F81BD"/>
    </w:rPr>
  </w:style>
  <w:style w:type="paragraph" w:styleId="Cmsor5">
    <w:name w:val="heading 5"/>
    <w:basedOn w:val="Norml"/>
    <w:next w:val="Norml"/>
    <w:link w:val="Cmsor5Char"/>
    <w:uiPriority w:val="99"/>
    <w:qFormat/>
    <w:rsid w:val="002B2444"/>
    <w:pPr>
      <w:keepNext/>
      <w:keepLines/>
      <w:spacing w:before="200"/>
      <w:outlineLvl w:val="4"/>
    </w:pPr>
    <w:rPr>
      <w:rFonts w:ascii="Cambria" w:hAnsi="Cambria"/>
      <w:color w:val="243F60"/>
    </w:rPr>
  </w:style>
  <w:style w:type="paragraph" w:styleId="Cmsor6">
    <w:name w:val="heading 6"/>
    <w:basedOn w:val="Norml"/>
    <w:next w:val="Norml"/>
    <w:link w:val="Cmsor6Char"/>
    <w:uiPriority w:val="99"/>
    <w:qFormat/>
    <w:rsid w:val="002B2444"/>
    <w:pPr>
      <w:keepNext/>
      <w:keepLines/>
      <w:spacing w:before="200"/>
      <w:outlineLvl w:val="5"/>
    </w:pPr>
    <w:rPr>
      <w:rFonts w:ascii="Cambria" w:hAnsi="Cambria"/>
      <w:i/>
      <w:color w:val="243F60"/>
    </w:rPr>
  </w:style>
  <w:style w:type="paragraph" w:styleId="Cmsor7">
    <w:name w:val="heading 7"/>
    <w:basedOn w:val="Norml"/>
    <w:next w:val="Norml"/>
    <w:link w:val="Cmsor7Char"/>
    <w:uiPriority w:val="99"/>
    <w:qFormat/>
    <w:rsid w:val="002B2444"/>
    <w:pPr>
      <w:keepNext/>
      <w:keepLines/>
      <w:spacing w:before="200"/>
      <w:outlineLvl w:val="6"/>
    </w:pPr>
    <w:rPr>
      <w:rFonts w:ascii="Cambria" w:hAnsi="Cambria"/>
      <w:i/>
      <w:color w:val="404040"/>
    </w:rPr>
  </w:style>
  <w:style w:type="paragraph" w:styleId="Cmsor8">
    <w:name w:val="heading 8"/>
    <w:basedOn w:val="Norml"/>
    <w:next w:val="Norml"/>
    <w:link w:val="Cmsor8Char"/>
    <w:uiPriority w:val="99"/>
    <w:qFormat/>
    <w:rsid w:val="002B2444"/>
    <w:pPr>
      <w:keepNext/>
      <w:keepLines/>
      <w:spacing w:before="200"/>
      <w:outlineLvl w:val="7"/>
    </w:pPr>
    <w:rPr>
      <w:rFonts w:ascii="Cambria" w:hAnsi="Cambria"/>
      <w:color w:val="404040"/>
      <w:sz w:val="20"/>
    </w:rPr>
  </w:style>
  <w:style w:type="paragraph" w:styleId="Cmsor9">
    <w:name w:val="heading 9"/>
    <w:basedOn w:val="Norml"/>
    <w:next w:val="Norml"/>
    <w:link w:val="Cmsor9Char"/>
    <w:uiPriority w:val="99"/>
    <w:qFormat/>
    <w:rsid w:val="002B2444"/>
    <w:pPr>
      <w:keepNext/>
      <w:keepLines/>
      <w:spacing w:before="200"/>
      <w:outlineLvl w:val="8"/>
    </w:pPr>
    <w:rPr>
      <w:rFonts w:ascii="Cambria" w:hAnsi="Cambria"/>
      <w:i/>
      <w:color w:val="40404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1"/>
    <w:link w:val="Cmsor1"/>
    <w:uiPriority w:val="99"/>
    <w:locked/>
    <w:rsid w:val="002B2444"/>
    <w:rPr>
      <w:rFonts w:cs="Times New Roman"/>
      <w:b/>
      <w:sz w:val="48"/>
      <w:lang w:val="hu-HU" w:eastAsia="hu-HU" w:bidi="ar-SA"/>
    </w:rPr>
  </w:style>
  <w:style w:type="character" w:customStyle="1" w:styleId="Cmsor2Char">
    <w:name w:val="Címsor 2 Char"/>
    <w:basedOn w:val="Bekezdsalapbettpusa1"/>
    <w:link w:val="Cmsor2"/>
    <w:uiPriority w:val="99"/>
    <w:locked/>
    <w:rsid w:val="002B2444"/>
    <w:rPr>
      <w:rFonts w:ascii="Arial" w:hAnsi="Arial" w:cs="Arial"/>
      <w:b/>
      <w:i/>
      <w:sz w:val="28"/>
      <w:lang w:val="hu-HU" w:eastAsia="hu-HU" w:bidi="ar-SA"/>
    </w:rPr>
  </w:style>
  <w:style w:type="character" w:customStyle="1" w:styleId="Cmsor3Char">
    <w:name w:val="Címsor 3 Char"/>
    <w:basedOn w:val="Bekezdsalapbettpusa1"/>
    <w:link w:val="Cmsor3"/>
    <w:uiPriority w:val="99"/>
    <w:locked/>
    <w:rsid w:val="002B2444"/>
    <w:rPr>
      <w:rFonts w:ascii="Cambria" w:hAnsi="Cambria" w:cs="Times New Roman"/>
      <w:b/>
      <w:color w:val="4F81BD"/>
    </w:rPr>
  </w:style>
  <w:style w:type="character" w:customStyle="1" w:styleId="Cmsor4Char">
    <w:name w:val="Címsor 4 Char"/>
    <w:basedOn w:val="Bekezdsalapbettpusa1"/>
    <w:link w:val="Cmsor4"/>
    <w:uiPriority w:val="99"/>
    <w:locked/>
    <w:rsid w:val="002B2444"/>
    <w:rPr>
      <w:rFonts w:ascii="Cambria" w:hAnsi="Cambria" w:cs="Times New Roman"/>
      <w:b/>
      <w:i/>
      <w:color w:val="4F81BD"/>
    </w:rPr>
  </w:style>
  <w:style w:type="character" w:customStyle="1" w:styleId="Cmsor5Char">
    <w:name w:val="Címsor 5 Char"/>
    <w:basedOn w:val="Bekezdsalapbettpusa1"/>
    <w:link w:val="Cmsor5"/>
    <w:uiPriority w:val="99"/>
    <w:locked/>
    <w:rsid w:val="002B2444"/>
    <w:rPr>
      <w:rFonts w:ascii="Cambria" w:hAnsi="Cambria" w:cs="Times New Roman"/>
      <w:color w:val="243F60"/>
    </w:rPr>
  </w:style>
  <w:style w:type="character" w:customStyle="1" w:styleId="Cmsor6Char">
    <w:name w:val="Címsor 6 Char"/>
    <w:basedOn w:val="Bekezdsalapbettpusa1"/>
    <w:link w:val="Cmsor6"/>
    <w:uiPriority w:val="99"/>
    <w:locked/>
    <w:rsid w:val="002B2444"/>
    <w:rPr>
      <w:rFonts w:ascii="Cambria" w:hAnsi="Cambria" w:cs="Times New Roman"/>
      <w:i/>
      <w:color w:val="243F60"/>
    </w:rPr>
  </w:style>
  <w:style w:type="character" w:customStyle="1" w:styleId="Cmsor7Char">
    <w:name w:val="Címsor 7 Char"/>
    <w:basedOn w:val="Bekezdsalapbettpusa1"/>
    <w:link w:val="Cmsor7"/>
    <w:uiPriority w:val="99"/>
    <w:locked/>
    <w:rsid w:val="002B2444"/>
    <w:rPr>
      <w:rFonts w:ascii="Cambria" w:hAnsi="Cambria" w:cs="Times New Roman"/>
      <w:i/>
      <w:color w:val="404040"/>
    </w:rPr>
  </w:style>
  <w:style w:type="character" w:customStyle="1" w:styleId="Cmsor8Char">
    <w:name w:val="Címsor 8 Char"/>
    <w:basedOn w:val="Bekezdsalapbettpusa1"/>
    <w:link w:val="Cmsor8"/>
    <w:uiPriority w:val="99"/>
    <w:locked/>
    <w:rsid w:val="002B2444"/>
    <w:rPr>
      <w:rFonts w:ascii="Cambria" w:hAnsi="Cambria" w:cs="Times New Roman"/>
      <w:color w:val="404040"/>
      <w:sz w:val="20"/>
    </w:rPr>
  </w:style>
  <w:style w:type="character" w:customStyle="1" w:styleId="Cmsor9Char">
    <w:name w:val="Címsor 9 Char"/>
    <w:basedOn w:val="Bekezdsalapbettpusa1"/>
    <w:link w:val="Cmsor9"/>
    <w:uiPriority w:val="99"/>
    <w:locked/>
    <w:rsid w:val="002B2444"/>
    <w:rPr>
      <w:rFonts w:ascii="Cambria" w:hAnsi="Cambria" w:cs="Times New Roman"/>
      <w:i/>
      <w:color w:val="404040"/>
      <w:sz w:val="20"/>
    </w:rPr>
  </w:style>
  <w:style w:type="character" w:customStyle="1" w:styleId="Bekezdsalapbettpusa1">
    <w:name w:val="Bekezdés alapbetűtípusa1"/>
    <w:uiPriority w:val="99"/>
    <w:semiHidden/>
    <w:rsid w:val="002B2444"/>
  </w:style>
  <w:style w:type="table" w:customStyle="1" w:styleId="Normltblzat1">
    <w:name w:val="Normál táblázat1"/>
    <w:uiPriority w:val="99"/>
    <w:semiHidden/>
    <w:rsid w:val="002B2444"/>
    <w:rPr>
      <w:sz w:val="24"/>
      <w:szCs w:val="20"/>
    </w:rPr>
    <w:tblPr>
      <w:tblInd w:w="0" w:type="dxa"/>
      <w:tblCellMar>
        <w:top w:w="0" w:type="dxa"/>
        <w:left w:w="108" w:type="dxa"/>
        <w:bottom w:w="0" w:type="dxa"/>
        <w:right w:w="108" w:type="dxa"/>
      </w:tblCellMar>
    </w:tblPr>
  </w:style>
  <w:style w:type="paragraph" w:customStyle="1" w:styleId="Lbjegyzetszveg1">
    <w:name w:val="Lábjegyzetszöveg1"/>
    <w:link w:val="FootnoteTextChar"/>
    <w:uiPriority w:val="99"/>
    <w:semiHidden/>
    <w:rsid w:val="002B2444"/>
    <w:pPr>
      <w:jc w:val="both"/>
    </w:pPr>
    <w:rPr>
      <w:sz w:val="20"/>
      <w:szCs w:val="20"/>
    </w:rPr>
  </w:style>
  <w:style w:type="paragraph" w:customStyle="1" w:styleId="Default">
    <w:name w:val="Default"/>
    <w:uiPriority w:val="99"/>
    <w:rsid w:val="002B2444"/>
    <w:rPr>
      <w:color w:val="000000"/>
      <w:sz w:val="24"/>
      <w:szCs w:val="20"/>
    </w:rPr>
  </w:style>
  <w:style w:type="character" w:customStyle="1" w:styleId="Lbjegyzet-hivatkozs1">
    <w:name w:val="Lábjegyzet-hivatkozás1"/>
    <w:basedOn w:val="Bekezdsalapbettpusa1"/>
    <w:uiPriority w:val="99"/>
    <w:semiHidden/>
    <w:rsid w:val="002B2444"/>
    <w:rPr>
      <w:rFonts w:cs="Times New Roman"/>
      <w:vertAlign w:val="superscript"/>
    </w:rPr>
  </w:style>
  <w:style w:type="character" w:styleId="Kiemels">
    <w:name w:val="Emphasis"/>
    <w:basedOn w:val="Bekezdsalapbettpusa1"/>
    <w:uiPriority w:val="99"/>
    <w:qFormat/>
    <w:rsid w:val="002B2444"/>
    <w:rPr>
      <w:rFonts w:cs="Times New Roman"/>
      <w:i/>
    </w:rPr>
  </w:style>
  <w:style w:type="character" w:styleId="Kiemels2">
    <w:name w:val="Strong"/>
    <w:basedOn w:val="Bekezdsalapbettpusa1"/>
    <w:uiPriority w:val="99"/>
    <w:qFormat/>
    <w:rsid w:val="002B2444"/>
    <w:rPr>
      <w:rFonts w:cs="Times New Roman"/>
      <w:b/>
    </w:rPr>
  </w:style>
  <w:style w:type="character" w:customStyle="1" w:styleId="A6">
    <w:name w:val="A6"/>
    <w:uiPriority w:val="99"/>
    <w:rsid w:val="002B2444"/>
    <w:rPr>
      <w:color w:val="000000"/>
      <w:sz w:val="22"/>
    </w:rPr>
  </w:style>
  <w:style w:type="character" w:customStyle="1" w:styleId="Apple-converted-space">
    <w:name w:val="Apple-converted-space"/>
    <w:basedOn w:val="Bekezdsalapbettpusa1"/>
    <w:uiPriority w:val="99"/>
    <w:rsid w:val="002B2444"/>
    <w:rPr>
      <w:rFonts w:cs="Times New Roman"/>
    </w:rPr>
  </w:style>
  <w:style w:type="character" w:styleId="Hiperhivatkozs">
    <w:name w:val="Hyperlink"/>
    <w:basedOn w:val="Bekezdsalapbettpusa1"/>
    <w:uiPriority w:val="99"/>
    <w:rsid w:val="002B2444"/>
    <w:rPr>
      <w:rFonts w:cs="Times New Roman"/>
      <w:color w:val="0000FF"/>
      <w:u w:val="single"/>
    </w:rPr>
  </w:style>
  <w:style w:type="paragraph" w:customStyle="1" w:styleId="NormlWeb1">
    <w:name w:val="Normál (Web)1"/>
    <w:uiPriority w:val="99"/>
    <w:rsid w:val="002B2444"/>
    <w:pPr>
      <w:spacing w:before="100" w:after="100"/>
    </w:pPr>
    <w:rPr>
      <w:sz w:val="24"/>
      <w:szCs w:val="20"/>
    </w:rPr>
  </w:style>
  <w:style w:type="paragraph" w:customStyle="1" w:styleId="Szvegtrzs1">
    <w:name w:val="Szövegtörzs1"/>
    <w:uiPriority w:val="99"/>
    <w:rsid w:val="002B2444"/>
    <w:pPr>
      <w:jc w:val="both"/>
    </w:pPr>
    <w:rPr>
      <w:sz w:val="24"/>
      <w:szCs w:val="20"/>
    </w:rPr>
  </w:style>
  <w:style w:type="paragraph" w:customStyle="1" w:styleId="Vgjegyzetszvege1">
    <w:name w:val="Végjegyzet szövege1"/>
    <w:link w:val="EndnoteTextChar"/>
    <w:uiPriority w:val="99"/>
    <w:semiHidden/>
    <w:rsid w:val="002B2444"/>
    <w:rPr>
      <w:sz w:val="20"/>
      <w:szCs w:val="20"/>
    </w:rPr>
  </w:style>
  <w:style w:type="paragraph" w:customStyle="1" w:styleId="ListParagraph1">
    <w:name w:val="List Paragraph1"/>
    <w:uiPriority w:val="99"/>
    <w:rsid w:val="002B2444"/>
    <w:pPr>
      <w:spacing w:after="200" w:line="276" w:lineRule="auto"/>
      <w:ind w:left="720"/>
    </w:pPr>
    <w:rPr>
      <w:rFonts w:cs="Calibri"/>
      <w:sz w:val="24"/>
      <w:szCs w:val="20"/>
      <w:lang w:eastAsia="en-US"/>
    </w:rPr>
  </w:style>
  <w:style w:type="character" w:styleId="Ershivatkozs">
    <w:name w:val="Intense Reference"/>
    <w:basedOn w:val="Bekezdsalapbettpusa1"/>
    <w:uiPriority w:val="99"/>
    <w:qFormat/>
    <w:rsid w:val="002B2444"/>
    <w:rPr>
      <w:rFonts w:cs="Times New Roman"/>
      <w:b/>
      <w:smallCaps/>
      <w:color w:val="C0504D"/>
      <w:spacing w:val="5"/>
      <w:u w:val="single"/>
    </w:rPr>
  </w:style>
  <w:style w:type="paragraph" w:styleId="Kiemeltidzet">
    <w:name w:val="Intense Quote"/>
    <w:basedOn w:val="Norml"/>
    <w:next w:val="Norml"/>
    <w:link w:val="KiemeltidzetChar"/>
    <w:uiPriority w:val="99"/>
    <w:qFormat/>
    <w:rsid w:val="002B2444"/>
    <w:pPr>
      <w:pBdr>
        <w:bottom w:val="single" w:sz="4" w:space="0" w:color="4F81BD"/>
      </w:pBdr>
      <w:spacing w:before="200" w:after="280"/>
      <w:ind w:left="936" w:right="936"/>
    </w:pPr>
    <w:rPr>
      <w:b/>
      <w:i/>
      <w:color w:val="4F81BD"/>
    </w:rPr>
  </w:style>
  <w:style w:type="character" w:customStyle="1" w:styleId="KiemeltidzetChar">
    <w:name w:val="Kiemelt idézet Char"/>
    <w:basedOn w:val="Bekezdsalapbettpusa1"/>
    <w:link w:val="Kiemeltidzet"/>
    <w:uiPriority w:val="99"/>
    <w:locked/>
    <w:rsid w:val="002B2444"/>
    <w:rPr>
      <w:rFonts w:cs="Times New Roman"/>
      <w:b/>
      <w:i/>
      <w:color w:val="4F81BD"/>
    </w:rPr>
  </w:style>
  <w:style w:type="character" w:customStyle="1" w:styleId="FootnoteTextChar">
    <w:name w:val="Footnote Text Char"/>
    <w:basedOn w:val="Bekezdsalapbettpusa1"/>
    <w:link w:val="Lbjegyzetszveg1"/>
    <w:uiPriority w:val="99"/>
    <w:semiHidden/>
    <w:locked/>
    <w:rsid w:val="002B2444"/>
    <w:rPr>
      <w:rFonts w:cs="Times New Roman"/>
      <w:lang w:val="hu-HU" w:eastAsia="hu-HU" w:bidi="ar-SA"/>
    </w:rPr>
  </w:style>
  <w:style w:type="character" w:styleId="Knyvcme">
    <w:name w:val="Book Title"/>
    <w:basedOn w:val="Bekezdsalapbettpusa1"/>
    <w:uiPriority w:val="99"/>
    <w:qFormat/>
    <w:rsid w:val="002B2444"/>
    <w:rPr>
      <w:rFonts w:cs="Times New Roman"/>
      <w:b/>
      <w:smallCaps/>
      <w:spacing w:val="5"/>
    </w:rPr>
  </w:style>
  <w:style w:type="paragraph" w:styleId="Idzet">
    <w:name w:val="Quote"/>
    <w:basedOn w:val="Norml"/>
    <w:next w:val="Norml"/>
    <w:link w:val="IdzetChar"/>
    <w:uiPriority w:val="99"/>
    <w:qFormat/>
    <w:rsid w:val="002B2444"/>
    <w:rPr>
      <w:i/>
      <w:color w:val="000000"/>
    </w:rPr>
  </w:style>
  <w:style w:type="character" w:customStyle="1" w:styleId="IdzetChar">
    <w:name w:val="Idézet Char"/>
    <w:basedOn w:val="Bekezdsalapbettpusa1"/>
    <w:link w:val="Idzet"/>
    <w:uiPriority w:val="99"/>
    <w:locked/>
    <w:rsid w:val="002B2444"/>
    <w:rPr>
      <w:rFonts w:cs="Times New Roman"/>
      <w:i/>
      <w:color w:val="000000"/>
    </w:rPr>
  </w:style>
  <w:style w:type="paragraph" w:styleId="Csakszveg">
    <w:name w:val="Plain Text"/>
    <w:basedOn w:val="Norml"/>
    <w:link w:val="CsakszvegChar"/>
    <w:uiPriority w:val="99"/>
    <w:semiHidden/>
    <w:rsid w:val="002B2444"/>
    <w:rPr>
      <w:rFonts w:ascii="Courier New" w:hAnsi="Courier New" w:cs="Courier New"/>
      <w:sz w:val="21"/>
    </w:rPr>
  </w:style>
  <w:style w:type="character" w:customStyle="1" w:styleId="CsakszvegChar">
    <w:name w:val="Csak szöveg Char"/>
    <w:basedOn w:val="Bekezdsalapbettpusa1"/>
    <w:link w:val="Csakszveg"/>
    <w:uiPriority w:val="99"/>
    <w:locked/>
    <w:rsid w:val="002B2444"/>
    <w:rPr>
      <w:rFonts w:ascii="Courier New" w:hAnsi="Courier New" w:cs="Courier New"/>
      <w:sz w:val="21"/>
    </w:rPr>
  </w:style>
  <w:style w:type="character" w:styleId="Finomhivatkozs">
    <w:name w:val="Subtle Reference"/>
    <w:basedOn w:val="Bekezdsalapbettpusa1"/>
    <w:uiPriority w:val="99"/>
    <w:qFormat/>
    <w:rsid w:val="002B2444"/>
    <w:rPr>
      <w:rFonts w:cs="Times New Roman"/>
      <w:smallCaps/>
      <w:color w:val="C0504D"/>
      <w:u w:val="single"/>
    </w:rPr>
  </w:style>
  <w:style w:type="character" w:styleId="Erskiemels">
    <w:name w:val="Intense Emphasis"/>
    <w:basedOn w:val="Bekezdsalapbettpusa1"/>
    <w:uiPriority w:val="99"/>
    <w:qFormat/>
    <w:rsid w:val="002B2444"/>
    <w:rPr>
      <w:rFonts w:cs="Times New Roman"/>
      <w:b/>
      <w:i/>
      <w:color w:val="4F81BD"/>
    </w:rPr>
  </w:style>
  <w:style w:type="paragraph" w:styleId="Nincstrkz">
    <w:name w:val="No Spacing"/>
    <w:uiPriority w:val="99"/>
    <w:qFormat/>
    <w:rsid w:val="002B2444"/>
    <w:rPr>
      <w:sz w:val="24"/>
      <w:szCs w:val="20"/>
    </w:rPr>
  </w:style>
  <w:style w:type="paragraph" w:styleId="Alcm">
    <w:name w:val="Subtitle"/>
    <w:basedOn w:val="Norml"/>
    <w:next w:val="Norml"/>
    <w:link w:val="AlcmChar"/>
    <w:uiPriority w:val="99"/>
    <w:qFormat/>
    <w:rsid w:val="002B2444"/>
    <w:rPr>
      <w:rFonts w:ascii="Cambria" w:hAnsi="Cambria"/>
      <w:i/>
      <w:color w:val="4F81BD"/>
      <w:spacing w:val="15"/>
    </w:rPr>
  </w:style>
  <w:style w:type="character" w:customStyle="1" w:styleId="AlcmChar">
    <w:name w:val="Alcím Char"/>
    <w:basedOn w:val="Bekezdsalapbettpusa1"/>
    <w:link w:val="Alcm"/>
    <w:uiPriority w:val="99"/>
    <w:locked/>
    <w:rsid w:val="002B2444"/>
    <w:rPr>
      <w:rFonts w:ascii="Cambria" w:hAnsi="Cambria" w:cs="Times New Roman"/>
      <w:i/>
      <w:color w:val="4F81BD"/>
      <w:spacing w:val="15"/>
      <w:sz w:val="24"/>
    </w:rPr>
  </w:style>
  <w:style w:type="character" w:customStyle="1" w:styleId="TitleChar">
    <w:name w:val="Title Char"/>
    <w:uiPriority w:val="99"/>
    <w:locked/>
    <w:rsid w:val="002B2444"/>
    <w:rPr>
      <w:rFonts w:ascii="Cambria" w:hAnsi="Cambria"/>
      <w:color w:val="17365D"/>
      <w:spacing w:val="5"/>
      <w:sz w:val="52"/>
    </w:rPr>
  </w:style>
  <w:style w:type="paragraph" w:styleId="Cm">
    <w:name w:val="Title"/>
    <w:basedOn w:val="Norml"/>
    <w:next w:val="Norml"/>
    <w:link w:val="CmChar"/>
    <w:uiPriority w:val="99"/>
    <w:qFormat/>
    <w:rsid w:val="002B2444"/>
    <w:pPr>
      <w:pBdr>
        <w:bottom w:val="single" w:sz="8" w:space="0" w:color="4F81BD"/>
      </w:pBdr>
      <w:spacing w:after="300"/>
      <w:contextualSpacing/>
    </w:pPr>
    <w:rPr>
      <w:rFonts w:ascii="Cambria" w:hAnsi="Cambria"/>
      <w:color w:val="17365D"/>
      <w:spacing w:val="5"/>
      <w:sz w:val="52"/>
    </w:rPr>
  </w:style>
  <w:style w:type="character" w:customStyle="1" w:styleId="CmChar">
    <w:name w:val="Cím Char"/>
    <w:basedOn w:val="Bekezdsalapbettpusa"/>
    <w:link w:val="Cm"/>
    <w:uiPriority w:val="99"/>
    <w:locked/>
    <w:rsid w:val="00C571FC"/>
    <w:rPr>
      <w:rFonts w:ascii="Cambria" w:hAnsi="Cambria" w:cs="Times New Roman"/>
      <w:b/>
      <w:bCs/>
      <w:kern w:val="28"/>
      <w:sz w:val="32"/>
      <w:szCs w:val="32"/>
    </w:rPr>
  </w:style>
  <w:style w:type="character" w:customStyle="1" w:styleId="Vgjegyzet-hivatkozs1">
    <w:name w:val="Végjegyzet-hivatkozás1"/>
    <w:basedOn w:val="Bekezdsalapbettpusa1"/>
    <w:uiPriority w:val="99"/>
    <w:semiHidden/>
    <w:rsid w:val="002B2444"/>
    <w:rPr>
      <w:rFonts w:cs="Times New Roman"/>
      <w:vertAlign w:val="superscript"/>
    </w:rPr>
  </w:style>
  <w:style w:type="character" w:styleId="Finomkiemels">
    <w:name w:val="Subtle Emphasis"/>
    <w:basedOn w:val="Bekezdsalapbettpusa1"/>
    <w:uiPriority w:val="99"/>
    <w:qFormat/>
    <w:rsid w:val="002B2444"/>
    <w:rPr>
      <w:rFonts w:cs="Times New Roman"/>
      <w:i/>
      <w:color w:val="808080"/>
    </w:rPr>
  </w:style>
  <w:style w:type="character" w:customStyle="1" w:styleId="EndnoteTextChar">
    <w:name w:val="Endnote Text Char"/>
    <w:basedOn w:val="Bekezdsalapbettpusa1"/>
    <w:link w:val="Vgjegyzetszvege1"/>
    <w:uiPriority w:val="99"/>
    <w:semiHidden/>
    <w:locked/>
    <w:rsid w:val="002B2444"/>
    <w:rPr>
      <w:rFonts w:cs="Times New Roman"/>
      <w:lang w:val="hu-HU" w:eastAsia="hu-HU" w:bidi="ar-SA"/>
    </w:rPr>
  </w:style>
  <w:style w:type="paragraph" w:customStyle="1" w:styleId="a3520normalp24">
    <w:name w:val="a__35__20_normal_p24"/>
    <w:basedOn w:val="Norml"/>
    <w:uiPriority w:val="99"/>
    <w:rsid w:val="00BF6779"/>
    <w:pPr>
      <w:spacing w:before="100" w:beforeAutospacing="1" w:after="100" w:afterAutospacing="1"/>
    </w:pPr>
    <w:rPr>
      <w:szCs w:val="24"/>
    </w:rPr>
  </w:style>
  <w:style w:type="paragraph" w:styleId="TJ1">
    <w:name w:val="toc 1"/>
    <w:basedOn w:val="Norml"/>
    <w:next w:val="Norml"/>
    <w:autoRedefine/>
    <w:uiPriority w:val="99"/>
    <w:semiHidden/>
    <w:locked/>
    <w:rsid w:val="00511EC1"/>
  </w:style>
  <w:style w:type="paragraph" w:styleId="llb">
    <w:name w:val="footer"/>
    <w:basedOn w:val="Norml"/>
    <w:link w:val="llbChar"/>
    <w:uiPriority w:val="99"/>
    <w:rsid w:val="001B15B6"/>
    <w:pPr>
      <w:tabs>
        <w:tab w:val="center" w:pos="4536"/>
        <w:tab w:val="right" w:pos="9072"/>
      </w:tabs>
    </w:pPr>
  </w:style>
  <w:style w:type="character" w:customStyle="1" w:styleId="llbChar">
    <w:name w:val="Élőláb Char"/>
    <w:basedOn w:val="Bekezdsalapbettpusa"/>
    <w:link w:val="llb"/>
    <w:uiPriority w:val="99"/>
    <w:semiHidden/>
    <w:locked/>
    <w:rsid w:val="00C571FC"/>
    <w:rPr>
      <w:rFonts w:cs="Times New Roman"/>
      <w:sz w:val="20"/>
      <w:szCs w:val="20"/>
    </w:rPr>
  </w:style>
  <w:style w:type="character" w:styleId="Oldalszm">
    <w:name w:val="page number"/>
    <w:basedOn w:val="Bekezdsalapbettpusa"/>
    <w:uiPriority w:val="99"/>
    <w:rsid w:val="001B15B6"/>
    <w:rPr>
      <w:rFonts w:cs="Times New Roman"/>
    </w:rPr>
  </w:style>
  <w:style w:type="paragraph" w:styleId="TJ2">
    <w:name w:val="toc 2"/>
    <w:basedOn w:val="Norml"/>
    <w:next w:val="Norml"/>
    <w:autoRedefine/>
    <w:uiPriority w:val="99"/>
    <w:semiHidden/>
    <w:locked/>
    <w:rsid w:val="001B15B6"/>
    <w:pPr>
      <w:ind w:left="240"/>
    </w:pPr>
  </w:style>
  <w:style w:type="paragraph" w:customStyle="1" w:styleId="Cmsor30">
    <w:name w:val="Címsor3"/>
    <w:basedOn w:val="Norml"/>
    <w:uiPriority w:val="99"/>
    <w:rsid w:val="00C01170"/>
    <w:pPr>
      <w:jc w:val="both"/>
    </w:pPr>
    <w:rPr>
      <w:b/>
    </w:rPr>
  </w:style>
  <w:style w:type="paragraph" w:customStyle="1" w:styleId="Scmsor3">
    <w:name w:val="Scímsor 3"/>
    <w:basedOn w:val="ListParagraph1"/>
    <w:uiPriority w:val="99"/>
    <w:rsid w:val="00C01170"/>
    <w:pPr>
      <w:spacing w:after="0" w:line="240" w:lineRule="auto"/>
      <w:ind w:left="0"/>
    </w:pPr>
    <w:rPr>
      <w:b/>
      <w:bCs/>
    </w:rPr>
  </w:style>
  <w:style w:type="paragraph" w:styleId="TJ3">
    <w:name w:val="toc 3"/>
    <w:basedOn w:val="Norml"/>
    <w:next w:val="Norml"/>
    <w:autoRedefine/>
    <w:uiPriority w:val="99"/>
    <w:semiHidden/>
    <w:locked/>
    <w:rsid w:val="003D0F47"/>
    <w:pPr>
      <w:ind w:left="480"/>
    </w:pPr>
  </w:style>
  <w:style w:type="paragraph" w:styleId="TJ4">
    <w:name w:val="toc 4"/>
    <w:basedOn w:val="Norml"/>
    <w:next w:val="Norml"/>
    <w:autoRedefine/>
    <w:uiPriority w:val="99"/>
    <w:semiHidden/>
    <w:locked/>
    <w:rsid w:val="003D0F47"/>
    <w:pPr>
      <w:ind w:left="720"/>
    </w:pPr>
  </w:style>
  <w:style w:type="paragraph" w:styleId="Lbjegyzetszveg">
    <w:name w:val="footnote text"/>
    <w:basedOn w:val="Norml"/>
    <w:link w:val="LbjegyzetszvegChar"/>
    <w:uiPriority w:val="99"/>
    <w:semiHidden/>
    <w:locked/>
    <w:rsid w:val="00ED6E8F"/>
    <w:rPr>
      <w:b/>
      <w:bCs/>
      <w:sz w:val="20"/>
    </w:rPr>
  </w:style>
  <w:style w:type="character" w:customStyle="1" w:styleId="LbjegyzetszvegChar">
    <w:name w:val="Lábjegyzetszöveg Char"/>
    <w:basedOn w:val="Bekezdsalapbettpusa"/>
    <w:link w:val="Lbjegyzetszveg"/>
    <w:uiPriority w:val="99"/>
    <w:semiHidden/>
    <w:locked/>
    <w:rsid w:val="004A4591"/>
    <w:rPr>
      <w:rFonts w:cs="Times New Roman"/>
      <w:sz w:val="20"/>
      <w:szCs w:val="20"/>
    </w:rPr>
  </w:style>
  <w:style w:type="character" w:styleId="Lbjegyzet-hivatkozs">
    <w:name w:val="footnote reference"/>
    <w:basedOn w:val="Bekezdsalapbettpusa"/>
    <w:uiPriority w:val="99"/>
    <w:semiHidden/>
    <w:locked/>
    <w:rsid w:val="00ED6E8F"/>
    <w:rPr>
      <w:rFonts w:cs="Times New Roman"/>
      <w:vertAlign w:val="superscript"/>
    </w:rPr>
  </w:style>
  <w:style w:type="paragraph" w:styleId="TJ5">
    <w:name w:val="toc 5"/>
    <w:basedOn w:val="Norml"/>
    <w:next w:val="Norml"/>
    <w:autoRedefine/>
    <w:uiPriority w:val="99"/>
    <w:semiHidden/>
    <w:rsid w:val="005B1200"/>
    <w:pPr>
      <w:ind w:left="960"/>
    </w:pPr>
    <w:rPr>
      <w:szCs w:val="24"/>
    </w:rPr>
  </w:style>
  <w:style w:type="paragraph" w:styleId="TJ6">
    <w:name w:val="toc 6"/>
    <w:basedOn w:val="Norml"/>
    <w:next w:val="Norml"/>
    <w:autoRedefine/>
    <w:uiPriority w:val="99"/>
    <w:semiHidden/>
    <w:rsid w:val="005B1200"/>
    <w:pPr>
      <w:ind w:left="1200"/>
    </w:pPr>
    <w:rPr>
      <w:szCs w:val="24"/>
    </w:rPr>
  </w:style>
  <w:style w:type="paragraph" w:styleId="TJ7">
    <w:name w:val="toc 7"/>
    <w:basedOn w:val="Norml"/>
    <w:next w:val="Norml"/>
    <w:autoRedefine/>
    <w:uiPriority w:val="99"/>
    <w:semiHidden/>
    <w:rsid w:val="005B1200"/>
    <w:pPr>
      <w:ind w:left="1440"/>
    </w:pPr>
    <w:rPr>
      <w:szCs w:val="24"/>
    </w:rPr>
  </w:style>
  <w:style w:type="paragraph" w:styleId="TJ8">
    <w:name w:val="toc 8"/>
    <w:basedOn w:val="Norml"/>
    <w:next w:val="Norml"/>
    <w:autoRedefine/>
    <w:uiPriority w:val="99"/>
    <w:semiHidden/>
    <w:rsid w:val="005B1200"/>
    <w:pPr>
      <w:ind w:left="1680"/>
    </w:pPr>
    <w:rPr>
      <w:szCs w:val="24"/>
    </w:rPr>
  </w:style>
  <w:style w:type="paragraph" w:styleId="TJ9">
    <w:name w:val="toc 9"/>
    <w:basedOn w:val="Norml"/>
    <w:next w:val="Norml"/>
    <w:autoRedefine/>
    <w:uiPriority w:val="99"/>
    <w:semiHidden/>
    <w:rsid w:val="005B1200"/>
    <w:pPr>
      <w:ind w:left="1920"/>
    </w:pPr>
    <w:rPr>
      <w:szCs w:val="24"/>
    </w:rPr>
  </w:style>
  <w:style w:type="paragraph" w:styleId="Listaszerbekezds">
    <w:name w:val="List Paragraph"/>
    <w:basedOn w:val="Norml"/>
    <w:uiPriority w:val="99"/>
    <w:qFormat/>
    <w:rsid w:val="004504CB"/>
    <w:pPr>
      <w:ind w:left="720"/>
      <w:contextualSpacing/>
    </w:pPr>
    <w:rPr>
      <w:rFonts w:ascii="Cambria" w:eastAsia="MS Mincho" w:hAnsi="Cambria"/>
      <w:szCs w:val="24"/>
      <w:lang w:eastAsia="en-US"/>
    </w:rPr>
  </w:style>
  <w:style w:type="paragraph" w:styleId="Szvegtrzs">
    <w:name w:val="Body Text"/>
    <w:basedOn w:val="Norml"/>
    <w:link w:val="SzvegtrzsChar"/>
    <w:uiPriority w:val="99"/>
    <w:locked/>
    <w:rsid w:val="005C2712"/>
    <w:pPr>
      <w:jc w:val="both"/>
    </w:pPr>
    <w:rPr>
      <w:i/>
      <w:iCs/>
      <w:szCs w:val="24"/>
      <w:lang w:val="en-GB"/>
    </w:rPr>
  </w:style>
  <w:style w:type="character" w:customStyle="1" w:styleId="SzvegtrzsChar">
    <w:name w:val="Szövegtörzs Char"/>
    <w:basedOn w:val="Bekezdsalapbettpusa"/>
    <w:link w:val="Szvegtrzs"/>
    <w:uiPriority w:val="99"/>
    <w:semiHidden/>
    <w:locked/>
    <w:rsid w:val="007051AD"/>
    <w:rPr>
      <w:rFonts w:cs="Times New Roman"/>
      <w:sz w:val="20"/>
      <w:szCs w:val="20"/>
    </w:rPr>
  </w:style>
  <w:style w:type="character" w:customStyle="1" w:styleId="oldal">
    <w:name w:val="oldal"/>
    <w:basedOn w:val="Bekezdsalapbettpusa"/>
    <w:uiPriority w:val="99"/>
    <w:rsid w:val="005C2712"/>
    <w:rPr>
      <w:rFonts w:cs="Times New Roman"/>
    </w:rPr>
  </w:style>
  <w:style w:type="character" w:customStyle="1" w:styleId="ev">
    <w:name w:val="ev"/>
    <w:basedOn w:val="Bekezdsalapbettpusa"/>
    <w:uiPriority w:val="99"/>
    <w:rsid w:val="003612AC"/>
    <w:rPr>
      <w:rFonts w:cs="Times New Roman"/>
    </w:rPr>
  </w:style>
  <w:style w:type="table" w:styleId="Rcsostblzat">
    <w:name w:val="Table Grid"/>
    <w:basedOn w:val="Normltblzat"/>
    <w:uiPriority w:val="99"/>
    <w:locked/>
    <w:rsid w:val="00CC1A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locked/>
    <w:rsid w:val="006423EA"/>
    <w:pPr>
      <w:tabs>
        <w:tab w:val="center" w:pos="4536"/>
        <w:tab w:val="right" w:pos="9072"/>
      </w:tabs>
    </w:pPr>
  </w:style>
  <w:style w:type="character" w:customStyle="1" w:styleId="lfejChar">
    <w:name w:val="Élőfej Char"/>
    <w:basedOn w:val="Bekezdsalapbettpusa"/>
    <w:link w:val="lfej"/>
    <w:uiPriority w:val="99"/>
    <w:semiHidden/>
    <w:locked/>
    <w:rsid w:val="004D056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30621">
      <w:marLeft w:val="0"/>
      <w:marRight w:val="0"/>
      <w:marTop w:val="0"/>
      <w:marBottom w:val="0"/>
      <w:divBdr>
        <w:top w:val="none" w:sz="0" w:space="0" w:color="auto"/>
        <w:left w:val="none" w:sz="0" w:space="0" w:color="auto"/>
        <w:bottom w:val="none" w:sz="0" w:space="0" w:color="auto"/>
        <w:right w:val="none" w:sz="0" w:space="0" w:color="auto"/>
      </w:divBdr>
    </w:div>
    <w:div w:id="480930622">
      <w:marLeft w:val="0"/>
      <w:marRight w:val="0"/>
      <w:marTop w:val="0"/>
      <w:marBottom w:val="0"/>
      <w:divBdr>
        <w:top w:val="none" w:sz="0" w:space="0" w:color="auto"/>
        <w:left w:val="none" w:sz="0" w:space="0" w:color="auto"/>
        <w:bottom w:val="none" w:sz="0" w:space="0" w:color="auto"/>
        <w:right w:val="none" w:sz="0" w:space="0" w:color="auto"/>
      </w:divBdr>
    </w:div>
    <w:div w:id="480930628">
      <w:marLeft w:val="0"/>
      <w:marRight w:val="0"/>
      <w:marTop w:val="0"/>
      <w:marBottom w:val="0"/>
      <w:divBdr>
        <w:top w:val="none" w:sz="0" w:space="0" w:color="auto"/>
        <w:left w:val="none" w:sz="0" w:space="0" w:color="auto"/>
        <w:bottom w:val="none" w:sz="0" w:space="0" w:color="auto"/>
        <w:right w:val="none" w:sz="0" w:space="0" w:color="auto"/>
      </w:divBdr>
      <w:divsChild>
        <w:div w:id="480930630">
          <w:marLeft w:val="0"/>
          <w:marRight w:val="0"/>
          <w:marTop w:val="0"/>
          <w:marBottom w:val="0"/>
          <w:divBdr>
            <w:top w:val="none" w:sz="0" w:space="0" w:color="auto"/>
            <w:left w:val="none" w:sz="0" w:space="0" w:color="auto"/>
            <w:bottom w:val="none" w:sz="0" w:space="0" w:color="auto"/>
            <w:right w:val="none" w:sz="0" w:space="0" w:color="auto"/>
          </w:divBdr>
          <w:divsChild>
            <w:div w:id="480930623">
              <w:marLeft w:val="0"/>
              <w:marRight w:val="0"/>
              <w:marTop w:val="0"/>
              <w:marBottom w:val="0"/>
              <w:divBdr>
                <w:top w:val="none" w:sz="0" w:space="0" w:color="auto"/>
                <w:left w:val="none" w:sz="0" w:space="0" w:color="auto"/>
                <w:bottom w:val="none" w:sz="0" w:space="0" w:color="auto"/>
                <w:right w:val="none" w:sz="0" w:space="0" w:color="auto"/>
              </w:divBdr>
            </w:div>
            <w:div w:id="480930624">
              <w:marLeft w:val="0"/>
              <w:marRight w:val="0"/>
              <w:marTop w:val="0"/>
              <w:marBottom w:val="0"/>
              <w:divBdr>
                <w:top w:val="none" w:sz="0" w:space="0" w:color="auto"/>
                <w:left w:val="none" w:sz="0" w:space="0" w:color="auto"/>
                <w:bottom w:val="none" w:sz="0" w:space="0" w:color="auto"/>
                <w:right w:val="none" w:sz="0" w:space="0" w:color="auto"/>
              </w:divBdr>
            </w:div>
            <w:div w:id="480930625">
              <w:marLeft w:val="0"/>
              <w:marRight w:val="0"/>
              <w:marTop w:val="0"/>
              <w:marBottom w:val="0"/>
              <w:divBdr>
                <w:top w:val="none" w:sz="0" w:space="0" w:color="auto"/>
                <w:left w:val="none" w:sz="0" w:space="0" w:color="auto"/>
                <w:bottom w:val="none" w:sz="0" w:space="0" w:color="auto"/>
                <w:right w:val="none" w:sz="0" w:space="0" w:color="auto"/>
              </w:divBdr>
            </w:div>
            <w:div w:id="480930626">
              <w:marLeft w:val="0"/>
              <w:marRight w:val="0"/>
              <w:marTop w:val="0"/>
              <w:marBottom w:val="0"/>
              <w:divBdr>
                <w:top w:val="none" w:sz="0" w:space="0" w:color="auto"/>
                <w:left w:val="none" w:sz="0" w:space="0" w:color="auto"/>
                <w:bottom w:val="none" w:sz="0" w:space="0" w:color="auto"/>
                <w:right w:val="none" w:sz="0" w:space="0" w:color="auto"/>
              </w:divBdr>
            </w:div>
            <w:div w:id="480930627">
              <w:marLeft w:val="0"/>
              <w:marRight w:val="0"/>
              <w:marTop w:val="0"/>
              <w:marBottom w:val="0"/>
              <w:divBdr>
                <w:top w:val="none" w:sz="0" w:space="0" w:color="auto"/>
                <w:left w:val="none" w:sz="0" w:space="0" w:color="auto"/>
                <w:bottom w:val="none" w:sz="0" w:space="0" w:color="auto"/>
                <w:right w:val="none" w:sz="0" w:space="0" w:color="auto"/>
              </w:divBdr>
            </w:div>
            <w:div w:id="480930629">
              <w:marLeft w:val="0"/>
              <w:marRight w:val="0"/>
              <w:marTop w:val="0"/>
              <w:marBottom w:val="0"/>
              <w:divBdr>
                <w:top w:val="none" w:sz="0" w:space="0" w:color="auto"/>
                <w:left w:val="none" w:sz="0" w:space="0" w:color="auto"/>
                <w:bottom w:val="none" w:sz="0" w:space="0" w:color="auto"/>
                <w:right w:val="none" w:sz="0" w:space="0" w:color="auto"/>
              </w:divBdr>
            </w:div>
            <w:div w:id="480930631">
              <w:marLeft w:val="0"/>
              <w:marRight w:val="0"/>
              <w:marTop w:val="0"/>
              <w:marBottom w:val="0"/>
              <w:divBdr>
                <w:top w:val="none" w:sz="0" w:space="0" w:color="auto"/>
                <w:left w:val="none" w:sz="0" w:space="0" w:color="auto"/>
                <w:bottom w:val="none" w:sz="0" w:space="0" w:color="auto"/>
                <w:right w:val="none" w:sz="0" w:space="0" w:color="auto"/>
              </w:divBdr>
            </w:div>
            <w:div w:id="480930632">
              <w:marLeft w:val="0"/>
              <w:marRight w:val="0"/>
              <w:marTop w:val="0"/>
              <w:marBottom w:val="0"/>
              <w:divBdr>
                <w:top w:val="none" w:sz="0" w:space="0" w:color="auto"/>
                <w:left w:val="none" w:sz="0" w:space="0" w:color="auto"/>
                <w:bottom w:val="none" w:sz="0" w:space="0" w:color="auto"/>
                <w:right w:val="none" w:sz="0" w:space="0" w:color="auto"/>
              </w:divBdr>
            </w:div>
            <w:div w:id="4809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637">
      <w:marLeft w:val="0"/>
      <w:marRight w:val="0"/>
      <w:marTop w:val="0"/>
      <w:marBottom w:val="0"/>
      <w:divBdr>
        <w:top w:val="none" w:sz="0" w:space="0" w:color="auto"/>
        <w:left w:val="none" w:sz="0" w:space="0" w:color="auto"/>
        <w:bottom w:val="none" w:sz="0" w:space="0" w:color="auto"/>
        <w:right w:val="none" w:sz="0" w:space="0" w:color="auto"/>
      </w:divBdr>
      <w:divsChild>
        <w:div w:id="480930635">
          <w:marLeft w:val="0"/>
          <w:marRight w:val="0"/>
          <w:marTop w:val="0"/>
          <w:marBottom w:val="0"/>
          <w:divBdr>
            <w:top w:val="none" w:sz="0" w:space="0" w:color="auto"/>
            <w:left w:val="none" w:sz="0" w:space="0" w:color="auto"/>
            <w:bottom w:val="none" w:sz="0" w:space="0" w:color="auto"/>
            <w:right w:val="none" w:sz="0" w:space="0" w:color="auto"/>
          </w:divBdr>
        </w:div>
      </w:divsChild>
    </w:div>
    <w:div w:id="480930638">
      <w:marLeft w:val="0"/>
      <w:marRight w:val="0"/>
      <w:marTop w:val="0"/>
      <w:marBottom w:val="0"/>
      <w:divBdr>
        <w:top w:val="none" w:sz="0" w:space="0" w:color="auto"/>
        <w:left w:val="none" w:sz="0" w:space="0" w:color="auto"/>
        <w:bottom w:val="none" w:sz="0" w:space="0" w:color="auto"/>
        <w:right w:val="none" w:sz="0" w:space="0" w:color="auto"/>
      </w:divBdr>
      <w:divsChild>
        <w:div w:id="480930643">
          <w:marLeft w:val="0"/>
          <w:marRight w:val="0"/>
          <w:marTop w:val="0"/>
          <w:marBottom w:val="0"/>
          <w:divBdr>
            <w:top w:val="none" w:sz="0" w:space="0" w:color="auto"/>
            <w:left w:val="none" w:sz="0" w:space="0" w:color="auto"/>
            <w:bottom w:val="none" w:sz="0" w:space="0" w:color="auto"/>
            <w:right w:val="none" w:sz="0" w:space="0" w:color="auto"/>
          </w:divBdr>
          <w:divsChild>
            <w:div w:id="480930640">
              <w:marLeft w:val="0"/>
              <w:marRight w:val="0"/>
              <w:marTop w:val="0"/>
              <w:marBottom w:val="0"/>
              <w:divBdr>
                <w:top w:val="none" w:sz="0" w:space="0" w:color="auto"/>
                <w:left w:val="none" w:sz="0" w:space="0" w:color="auto"/>
                <w:bottom w:val="none" w:sz="0" w:space="0" w:color="auto"/>
                <w:right w:val="none" w:sz="0" w:space="0" w:color="auto"/>
              </w:divBdr>
            </w:div>
            <w:div w:id="4809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639">
      <w:marLeft w:val="0"/>
      <w:marRight w:val="0"/>
      <w:marTop w:val="0"/>
      <w:marBottom w:val="0"/>
      <w:divBdr>
        <w:top w:val="none" w:sz="0" w:space="0" w:color="auto"/>
        <w:left w:val="none" w:sz="0" w:space="0" w:color="auto"/>
        <w:bottom w:val="none" w:sz="0" w:space="0" w:color="auto"/>
        <w:right w:val="none" w:sz="0" w:space="0" w:color="auto"/>
      </w:divBdr>
      <w:divsChild>
        <w:div w:id="480930642">
          <w:marLeft w:val="0"/>
          <w:marRight w:val="0"/>
          <w:marTop w:val="0"/>
          <w:marBottom w:val="0"/>
          <w:divBdr>
            <w:top w:val="none" w:sz="0" w:space="0" w:color="auto"/>
            <w:left w:val="none" w:sz="0" w:space="0" w:color="auto"/>
            <w:bottom w:val="none" w:sz="0" w:space="0" w:color="auto"/>
            <w:right w:val="none" w:sz="0" w:space="0" w:color="auto"/>
          </w:divBdr>
          <w:divsChild>
            <w:div w:id="4809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644">
      <w:marLeft w:val="0"/>
      <w:marRight w:val="0"/>
      <w:marTop w:val="0"/>
      <w:marBottom w:val="0"/>
      <w:divBdr>
        <w:top w:val="none" w:sz="0" w:space="0" w:color="auto"/>
        <w:left w:val="none" w:sz="0" w:space="0" w:color="auto"/>
        <w:bottom w:val="none" w:sz="0" w:space="0" w:color="auto"/>
        <w:right w:val="none" w:sz="0" w:space="0" w:color="auto"/>
      </w:divBdr>
      <w:divsChild>
        <w:div w:id="480930636">
          <w:marLeft w:val="0"/>
          <w:marRight w:val="0"/>
          <w:marTop w:val="0"/>
          <w:marBottom w:val="0"/>
          <w:divBdr>
            <w:top w:val="none" w:sz="0" w:space="0" w:color="auto"/>
            <w:left w:val="none" w:sz="0" w:space="0" w:color="auto"/>
            <w:bottom w:val="none" w:sz="0" w:space="0" w:color="auto"/>
            <w:right w:val="none" w:sz="0" w:space="0" w:color="auto"/>
          </w:divBdr>
          <w:divsChild>
            <w:div w:id="4809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646">
      <w:marLeft w:val="0"/>
      <w:marRight w:val="0"/>
      <w:marTop w:val="0"/>
      <w:marBottom w:val="0"/>
      <w:divBdr>
        <w:top w:val="none" w:sz="0" w:space="0" w:color="auto"/>
        <w:left w:val="none" w:sz="0" w:space="0" w:color="auto"/>
        <w:bottom w:val="none" w:sz="0" w:space="0" w:color="auto"/>
        <w:right w:val="none" w:sz="0" w:space="0" w:color="auto"/>
      </w:divBdr>
      <w:divsChild>
        <w:div w:id="480930647">
          <w:marLeft w:val="0"/>
          <w:marRight w:val="0"/>
          <w:marTop w:val="0"/>
          <w:marBottom w:val="0"/>
          <w:divBdr>
            <w:top w:val="none" w:sz="0" w:space="0" w:color="auto"/>
            <w:left w:val="none" w:sz="0" w:space="0" w:color="auto"/>
            <w:bottom w:val="none" w:sz="0" w:space="0" w:color="auto"/>
            <w:right w:val="none" w:sz="0" w:space="0" w:color="auto"/>
          </w:divBdr>
        </w:div>
      </w:divsChild>
    </w:div>
    <w:div w:id="480930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3228</Words>
  <Characters>22278</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Szervezetfejlesztési modell és pilot projekt</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Szervezetfejlesztési modell és pilot projekt</dc:title>
  <dc:subject/>
  <dc:creator>_</dc:creator>
  <cp:keywords/>
  <dc:description/>
  <cp:lastModifiedBy>Keczer Gabi</cp:lastModifiedBy>
  <cp:revision>5</cp:revision>
  <dcterms:created xsi:type="dcterms:W3CDTF">2016-04-13T08:18:00Z</dcterms:created>
  <dcterms:modified xsi:type="dcterms:W3CDTF">2016-05-19T19:18:00Z</dcterms:modified>
</cp:coreProperties>
</file>